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3BD5">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Session Proposal </w:t>
      </w:r>
    </w:p>
    <w:p w14:paraId="2AC9153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7F3F0F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Advancing Soil Microbial Insights via Single-Cell Technologies</w:t>
      </w:r>
    </w:p>
    <w:p w14:paraId="3144A61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135D3F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Jian Xu, Qingdao Institute of Bioenergy and Bioprocess Technology, Chinese Academy of Sciences, </w:t>
      </w:r>
      <w:r>
        <w:fldChar w:fldCharType="begin"/>
      </w:r>
      <w:r>
        <w:instrText xml:space="preserve"> HYPERLINK "mailto:xujian@qibebt.ac.cn" </w:instrText>
      </w:r>
      <w:r>
        <w:fldChar w:fldCharType="separate"/>
      </w:r>
      <w:r>
        <w:rPr>
          <w:rStyle w:val="12"/>
          <w:rFonts w:hint="eastAsia" w:ascii="Times New Roman" w:hAnsi="Times New Roman" w:cs="Times New Roman"/>
          <w:sz w:val="24"/>
          <w:szCs w:val="24"/>
        </w:rPr>
        <w:t>xujian@qibebt.ac.cn</w:t>
      </w:r>
      <w:r>
        <w:rPr>
          <w:rStyle w:val="12"/>
          <w:rFonts w:hint="eastAsia" w:ascii="Times New Roman" w:hAnsi="Times New Roman" w:cs="Times New Roman"/>
          <w:sz w:val="24"/>
          <w:szCs w:val="24"/>
        </w:rPr>
        <w:fldChar w:fldCharType="end"/>
      </w:r>
    </w:p>
    <w:p w14:paraId="46EA09E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Yuting Liang, Institute of Soil Science, Chinese Academy of Sciences, </w:t>
      </w:r>
      <w:r>
        <w:fldChar w:fldCharType="begin"/>
      </w:r>
      <w:r>
        <w:instrText xml:space="preserve"> HYPERLINK "mailto:ytliang@issas.ac.cn" </w:instrText>
      </w:r>
      <w:r>
        <w:fldChar w:fldCharType="separate"/>
      </w:r>
      <w:r>
        <w:rPr>
          <w:rStyle w:val="12"/>
          <w:rFonts w:hint="eastAsia" w:ascii="Times New Roman" w:hAnsi="Times New Roman" w:cs="Times New Roman"/>
          <w:sz w:val="24"/>
          <w:szCs w:val="24"/>
        </w:rPr>
        <w:t>ytliang@issas.ac.cn</w:t>
      </w:r>
      <w:r>
        <w:rPr>
          <w:rStyle w:val="12"/>
          <w:rFonts w:hint="eastAsia" w:ascii="Times New Roman" w:hAnsi="Times New Roman" w:cs="Times New Roman"/>
          <w:sz w:val="24"/>
          <w:szCs w:val="24"/>
        </w:rPr>
        <w:fldChar w:fldCharType="end"/>
      </w:r>
    </w:p>
    <w:p w14:paraId="24B712D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Wei Huang, University of Oxford, </w:t>
      </w:r>
      <w:r>
        <w:fldChar w:fldCharType="begin"/>
      </w:r>
      <w:r>
        <w:instrText xml:space="preserve"> HYPERLINK "mailto:wei.huang@eng.ox.ac.uk" </w:instrText>
      </w:r>
      <w:r>
        <w:fldChar w:fldCharType="separate"/>
      </w:r>
      <w:r>
        <w:rPr>
          <w:rStyle w:val="12"/>
          <w:rFonts w:hint="eastAsia" w:ascii="Times New Roman" w:hAnsi="Times New Roman" w:cs="Times New Roman"/>
          <w:sz w:val="24"/>
          <w:szCs w:val="24"/>
        </w:rPr>
        <w:t>wei.huang@eng.ox.ac.uk</w:t>
      </w:r>
      <w:r>
        <w:rPr>
          <w:rStyle w:val="12"/>
          <w:rFonts w:hint="eastAsia" w:ascii="Times New Roman" w:hAnsi="Times New Roman" w:cs="Times New Roman"/>
          <w:sz w:val="24"/>
          <w:szCs w:val="24"/>
        </w:rPr>
        <w:fldChar w:fldCharType="end"/>
      </w:r>
    </w:p>
    <w:p w14:paraId="08DB275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Li Cui, Institute of Urban Environment, Chinese Academy of Sciences, </w:t>
      </w:r>
      <w:r>
        <w:fldChar w:fldCharType="begin"/>
      </w:r>
      <w:r>
        <w:instrText xml:space="preserve"> HYPERLINK "mailto:lcui@iue.ac.cn" </w:instrText>
      </w:r>
      <w:r>
        <w:fldChar w:fldCharType="separate"/>
      </w:r>
      <w:r>
        <w:rPr>
          <w:rStyle w:val="12"/>
          <w:rFonts w:hint="eastAsia" w:ascii="Times New Roman" w:hAnsi="Times New Roman" w:cs="Times New Roman"/>
          <w:sz w:val="24"/>
          <w:szCs w:val="24"/>
        </w:rPr>
        <w:t>lcui@iue.ac.cn</w:t>
      </w:r>
      <w:r>
        <w:rPr>
          <w:rStyle w:val="12"/>
          <w:rFonts w:hint="eastAsia" w:ascii="Times New Roman" w:hAnsi="Times New Roman" w:cs="Times New Roman"/>
          <w:sz w:val="24"/>
          <w:szCs w:val="24"/>
        </w:rPr>
        <w:fldChar w:fldCharType="end"/>
      </w:r>
      <w:r>
        <w:rPr>
          <w:rFonts w:hint="eastAsia" w:ascii="Times New Roman" w:hAnsi="Times New Roman" w:cs="Times New Roman"/>
          <w:sz w:val="24"/>
          <w:szCs w:val="24"/>
        </w:rPr>
        <w:t xml:space="preserve"> </w:t>
      </w:r>
    </w:p>
    <w:p w14:paraId="2AD5EF3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0D9A477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This session aims to explore cutting-edge advancements in single-cell technologies and their transformative role in soil microbial ecology. Soil harbors an immense diversity of uncultured microorganisms, often referred to as microbial "dark matter." Traditional bulk analysis methods fail to resolve individual microbial functions, but single-cell approaches—such as single-cell genomics, transcriptomics, Raman spectroscopy, and microfluidics—enable precise dissection of metabolic activities, interactions, and spatial organization at the single-cell level.</w:t>
      </w:r>
    </w:p>
    <w:p w14:paraId="72B48C0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The session will address key challenges and opportunities, including:</w:t>
      </w:r>
    </w:p>
    <w:p w14:paraId="1F789E5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1. Technological Innovations: Novel methods for isolating, sequencing, and analyzing </w:t>
      </w:r>
      <w:r>
        <w:rPr>
          <w:rFonts w:ascii="Times New Roman" w:hAnsi="Times New Roman" w:cs="Times New Roman"/>
          <w:color w:val="000000" w:themeColor="text1"/>
          <w:sz w:val="24"/>
          <w:szCs w:val="24"/>
          <w14:textFill>
            <w14:solidFill>
              <w14:schemeClr w14:val="tx1"/>
            </w14:solidFill>
          </w14:textFill>
        </w:rPr>
        <w:t>single soil</w:t>
      </w:r>
      <w:r>
        <w:rPr>
          <w:rFonts w:hint="eastAsia" w:ascii="Times New Roman" w:hAnsi="Times New Roman" w:cs="Times New Roman"/>
          <w:color w:val="000000" w:themeColor="text1"/>
          <w:sz w:val="24"/>
          <w:szCs w:val="24"/>
          <w14:textFill>
            <w14:solidFill>
              <w14:schemeClr w14:val="tx1"/>
            </w14:solidFill>
          </w14:textFill>
        </w:rPr>
        <w:t xml:space="preserve"> cells.</w:t>
      </w:r>
    </w:p>
    <w:p w14:paraId="715FF1E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 Functional Insights: Linking single-cell phenotypes to biogeochemical processes (e.g., carbon cycling, nitrogen fixation).</w:t>
      </w:r>
    </w:p>
    <w:p w14:paraId="5586C26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 Applications: Leveraging single-cell data to optimize soil health, bioremediation, and agricultural productivity.</w:t>
      </w:r>
    </w:p>
    <w:p w14:paraId="2E0F8C1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By bridging fundamental research and practical applications, this session will foster collaboration among microbiologists, ecologists, and biotechnologists. </w:t>
      </w:r>
      <w:r>
        <w:rPr>
          <w:rFonts w:ascii="Times New Roman" w:hAnsi="Times New Roman" w:cs="Times New Roman"/>
          <w:color w:val="000000" w:themeColor="text1"/>
          <w:sz w:val="24"/>
          <w:szCs w:val="24"/>
          <w14:textFill>
            <w14:solidFill>
              <w14:schemeClr w14:val="tx1"/>
            </w14:solidFill>
          </w14:textFill>
        </w:rPr>
        <w:t>Early career</w:t>
      </w:r>
      <w:r>
        <w:rPr>
          <w:rFonts w:hint="eastAsia" w:ascii="Times New Roman" w:hAnsi="Times New Roman" w:cs="Times New Roman"/>
          <w:color w:val="000000" w:themeColor="text1"/>
          <w:sz w:val="24"/>
          <w:szCs w:val="24"/>
          <w14:textFill>
            <w14:solidFill>
              <w14:schemeClr w14:val="tx1"/>
            </w14:solidFill>
          </w14:textFill>
        </w:rPr>
        <w:t xml:space="preserve"> researchers are particularly encouraged to participate, with dedicated networking opportunities to discuss interdisciplinary approaches.</w:t>
      </w:r>
    </w:p>
    <w:p w14:paraId="55009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6BD7E65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Oral presentations (15 min each) followed by a panel discussion and interactive Q&amp;A.</w:t>
      </w:r>
    </w:p>
    <w:p w14:paraId="54AD2E3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01C4D53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Speaker 1:</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J</w:t>
      </w:r>
      <w:r>
        <w:rPr>
          <w:rFonts w:hint="eastAsia" w:ascii="Times New Roman" w:hAnsi="Times New Roman" w:cs="Times New Roman"/>
          <w:b/>
          <w:bCs/>
          <w:sz w:val="24"/>
          <w:szCs w:val="24"/>
        </w:rPr>
        <w:t>izhong</w:t>
      </w:r>
      <w:r>
        <w:rPr>
          <w:rFonts w:ascii="Times New Roman" w:hAnsi="Times New Roman" w:cs="Times New Roman"/>
          <w:b/>
          <w:bCs/>
          <w:sz w:val="24"/>
          <w:szCs w:val="24"/>
        </w:rPr>
        <w:t xml:space="preserve"> Z</w:t>
      </w:r>
      <w:r>
        <w:rPr>
          <w:rFonts w:hint="eastAsia" w:ascii="Times New Roman" w:hAnsi="Times New Roman" w:cs="Times New Roman"/>
          <w:b/>
          <w:bCs/>
          <w:sz w:val="24"/>
          <w:szCs w:val="24"/>
        </w:rPr>
        <w:t>hou</w:t>
      </w:r>
      <w:r>
        <w:rPr>
          <w:rFonts w:hint="eastAsia" w:ascii="Times New Roman" w:hAnsi="Times New Roman" w:cs="Times New Roman"/>
          <w:sz w:val="24"/>
          <w:szCs w:val="24"/>
        </w:rPr>
        <w:t>: Dr. Zhou is George Lynn Cross Research Professor and Presidential Professor in School of Biological Sciences, School of Civil Engineering and Environmental Sciences, and School of Computer Science, and Director of the Institute for Environmental Genomics, at University of Oklahoma. Dr. Zhou is an international leader in genomics-enabled microbial environmental sciences.</w:t>
      </w:r>
      <w:r>
        <w:rPr>
          <w:rFonts w:hint="eastAsia"/>
        </w:rPr>
        <w:t xml:space="preserve"> </w:t>
      </w:r>
      <w:r>
        <w:rPr>
          <w:rFonts w:hint="eastAsia" w:ascii="Times New Roman" w:hAnsi="Times New Roman" w:cs="Times New Roman"/>
          <w:sz w:val="24"/>
          <w:szCs w:val="24"/>
        </w:rPr>
        <w:t>He is engaged in development of macro-genomic technology and its application in environmental science and engineering. He is known for his pioneering advances in developing both cutting-edge experimental and computational metagenomic technologies to address frontier environmental, engineering, and ecological questions. He has achieved systematic innovations from basic theory to engineering application in the use of microorganisms to address environmental pollution, climate change and improve environmental health. He</w:t>
      </w:r>
      <w:r>
        <w:rPr>
          <w:rFonts w:hint="eastAsia"/>
        </w:rPr>
        <w:t xml:space="preserve"> </w:t>
      </w:r>
      <w:r>
        <w:rPr>
          <w:rFonts w:hint="eastAsia" w:ascii="Times New Roman" w:hAnsi="Times New Roman" w:cs="Times New Roman"/>
          <w:sz w:val="24"/>
          <w:szCs w:val="24"/>
        </w:rPr>
        <w:t>is an Editor-in-Chief for mLife, a former Senior Editor for The ISME Journal (a prime microbial ecology journal), for mBio, and formal Editor for Applied and Environmental Microbiology.</w:t>
      </w:r>
      <w:r>
        <w:rPr>
          <w:rFonts w:hint="eastAsia"/>
        </w:rPr>
        <w:t xml:space="preserve"> </w:t>
      </w:r>
      <w:r>
        <w:rPr>
          <w:rFonts w:hint="eastAsia" w:ascii="Times New Roman" w:hAnsi="Times New Roman" w:cs="Times New Roman"/>
          <w:sz w:val="24"/>
          <w:szCs w:val="24"/>
        </w:rPr>
        <w:t>In recognition of his achievements in research, he received several international awards, such as SURA, ISME-IWA and ASM. Dr. Zhou</w:t>
      </w:r>
      <w:r>
        <w:rPr>
          <w:rFonts w:ascii="Times New Roman" w:hAnsi="Times New Roman" w:cs="Times New Roman"/>
          <w:sz w:val="24"/>
          <w:szCs w:val="24"/>
        </w:rPr>
        <w:t>’</w:t>
      </w:r>
      <w:r>
        <w:rPr>
          <w:rFonts w:hint="eastAsia" w:ascii="Times New Roman" w:hAnsi="Times New Roman" w:cs="Times New Roman"/>
          <w:sz w:val="24"/>
          <w:szCs w:val="24"/>
        </w:rPr>
        <w:t xml:space="preserve">s outstanding achievements are recognized as a top 0.1% global highly cited researcher by all three major complementary metrics based on Elservier’s Scopus, Web of Science, and Google Scholar. </w:t>
      </w:r>
    </w:p>
    <w:p w14:paraId="2CC26B8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Speaker 2: </w:t>
      </w:r>
      <w:r>
        <w:rPr>
          <w:rFonts w:hint="eastAsia" w:ascii="Times New Roman" w:hAnsi="Times New Roman" w:cs="Times New Roman"/>
          <w:b/>
          <w:bCs/>
          <w:sz w:val="24"/>
          <w:szCs w:val="24"/>
        </w:rPr>
        <w:t xml:space="preserve">Tanja </w:t>
      </w:r>
      <w:r>
        <w:rPr>
          <w:rFonts w:ascii="Times New Roman" w:hAnsi="Times New Roman" w:cs="Times New Roman"/>
          <w:b/>
          <w:bCs/>
          <w:sz w:val="24"/>
          <w:szCs w:val="24"/>
        </w:rPr>
        <w:t>Woyke</w:t>
      </w:r>
      <w:r>
        <w:rPr>
          <w:rFonts w:hint="eastAsia" w:ascii="Times New Roman" w:hAnsi="Times New Roman" w:cs="Times New Roman"/>
          <w:sz w:val="24"/>
          <w:szCs w:val="24"/>
        </w:rPr>
        <w:t xml:space="preserve">: Dr. Woyke is </w:t>
      </w:r>
      <w:r>
        <w:rPr>
          <w:rFonts w:ascii="Times New Roman" w:hAnsi="Times New Roman" w:cs="Times New Roman"/>
          <w:sz w:val="24"/>
          <w:szCs w:val="24"/>
        </w:rPr>
        <w:t>Deputy of User Programs, Microbial Program</w:t>
      </w:r>
      <w:r>
        <w:rPr>
          <w:rFonts w:hint="eastAsia" w:ascii="Times New Roman" w:hAnsi="Times New Roman" w:cs="Times New Roman"/>
          <w:sz w:val="24"/>
          <w:szCs w:val="24"/>
        </w:rPr>
        <w:t xml:space="preserve">, and Head of </w:t>
      </w:r>
      <w:r>
        <w:rPr>
          <w:rFonts w:ascii="Times New Roman" w:hAnsi="Times New Roman" w:cs="Times New Roman"/>
          <w:sz w:val="24"/>
          <w:szCs w:val="24"/>
        </w:rPr>
        <w:t>Single Cell Research Group</w:t>
      </w:r>
      <w:r>
        <w:rPr>
          <w:rFonts w:hint="eastAsia" w:ascii="Times New Roman" w:hAnsi="Times New Roman" w:cs="Times New Roman"/>
          <w:sz w:val="24"/>
          <w:szCs w:val="24"/>
        </w:rPr>
        <w:t xml:space="preserve"> at Joint Genome Institute, Department of Energy at USA.</w:t>
      </w:r>
      <w:r>
        <w:rPr>
          <w:rFonts w:ascii="Times New Roman" w:hAnsi="Times New Roman" w:cs="Times New Roman"/>
          <w:sz w:val="24"/>
          <w:szCs w:val="24"/>
        </w:rPr>
        <w:t xml:space="preserve"> In addition to her JGI appointment, she also holds an Adjunct Scientist appointment at the Bigelow Laboratory for Ocean Sciences since 2012 and an Adjunct Associate Professor at the University of California, Merced's School of Natural Sciences since 2015.</w:t>
      </w:r>
      <w:r>
        <w:rPr>
          <w:rFonts w:hint="eastAsia" w:ascii="Times New Roman" w:hAnsi="Times New Roman" w:cs="Times New Roman"/>
          <w:sz w:val="24"/>
          <w:szCs w:val="24"/>
        </w:rPr>
        <w:t xml:space="preserve"> Her major interest is microbial</w:t>
      </w:r>
      <w:r>
        <w:rPr>
          <w:rFonts w:ascii="Times New Roman" w:hAnsi="Times New Roman" w:cs="Times New Roman"/>
          <w:sz w:val="24"/>
          <w:szCs w:val="24"/>
        </w:rPr>
        <w:t xml:space="preserve"> single-cell genomics, </w:t>
      </w:r>
      <w:r>
        <w:rPr>
          <w:rFonts w:hint="eastAsia" w:ascii="Times New Roman" w:hAnsi="Times New Roman" w:cs="Times New Roman"/>
          <w:sz w:val="24"/>
          <w:szCs w:val="24"/>
        </w:rPr>
        <w:t>and has published pioneering studies in using single-cell genomics to tackle environmental cells that remain uncultivated yet play pivotal roles in ecological functions.</w:t>
      </w:r>
    </w:p>
    <w:p w14:paraId="3A91606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Speaker 3: </w:t>
      </w:r>
      <w:r>
        <w:fldChar w:fldCharType="begin"/>
      </w:r>
      <w:r>
        <w:instrText xml:space="preserve"> HYPERLINK "http://www.sun.ac.za/english/faculty/science/microbiology/research/makhalanyane-lab" \t "_blank" </w:instrText>
      </w:r>
      <w:r>
        <w:fldChar w:fldCharType="separate"/>
      </w:r>
      <w:r>
        <w:rPr>
          <w:rFonts w:ascii="Times New Roman" w:hAnsi="Times New Roman" w:cs="Times New Roman"/>
          <w:b/>
          <w:bCs/>
          <w:sz w:val="24"/>
          <w:szCs w:val="24"/>
        </w:rPr>
        <w:t>Thulani Makhalanyane</w:t>
      </w:r>
      <w:r>
        <w:rPr>
          <w:rFonts w:ascii="Times New Roman" w:hAnsi="Times New Roman" w:cs="Times New Roman"/>
          <w:b/>
          <w:bCs/>
          <w:sz w:val="24"/>
          <w:szCs w:val="24"/>
        </w:rPr>
        <w:fldChar w:fldCharType="end"/>
      </w:r>
      <w:r>
        <w:rPr>
          <w:rFonts w:hint="eastAsia" w:ascii="Times New Roman" w:hAnsi="Times New Roman" w:cs="Times New Roman"/>
          <w:sz w:val="24"/>
          <w:szCs w:val="24"/>
        </w:rPr>
        <w:t xml:space="preserve">. Dr Makhalanyane is professor </w:t>
      </w:r>
      <w:r>
        <w:rPr>
          <w:rFonts w:ascii="Times New Roman" w:hAnsi="Times New Roman" w:cs="Times New Roman"/>
          <w:sz w:val="24"/>
          <w:szCs w:val="24"/>
        </w:rPr>
        <w:t xml:space="preserve">in the Department of Microbiology and The School for Data Science and Computational Thinking </w:t>
      </w:r>
      <w:r>
        <w:rPr>
          <w:rFonts w:hint="eastAsia" w:ascii="Times New Roman" w:hAnsi="Times New Roman" w:cs="Times New Roman"/>
          <w:sz w:val="24"/>
          <w:szCs w:val="24"/>
        </w:rPr>
        <w:t xml:space="preserve">at </w:t>
      </w:r>
      <w:r>
        <w:rPr>
          <w:rFonts w:ascii="Times New Roman" w:hAnsi="Times New Roman" w:cs="Times New Roman"/>
          <w:sz w:val="24"/>
          <w:szCs w:val="24"/>
        </w:rPr>
        <w:t>Stellenbosch University, Stellenbosch, South Africa</w:t>
      </w:r>
      <w:r>
        <w:rPr>
          <w:rFonts w:hint="eastAsia" w:ascii="Times New Roman" w:hAnsi="Times New Roman" w:cs="Times New Roman"/>
          <w:sz w:val="24"/>
          <w:szCs w:val="24"/>
        </w:rPr>
        <w:t>. He is the leader of the African Microbiome Project (AMP), a</w:t>
      </w:r>
      <w:r>
        <w:rPr>
          <w:rFonts w:ascii="Times New Roman" w:hAnsi="Times New Roman" w:cs="Times New Roman"/>
          <w:sz w:val="24"/>
          <w:szCs w:val="24"/>
        </w:rPr>
        <w:t xml:space="preserve"> multidisciplinary initiate to sequence environmental and host-associated samples </w:t>
      </w:r>
      <w:r>
        <w:rPr>
          <w:rFonts w:hint="eastAsia" w:ascii="Times New Roman" w:hAnsi="Times New Roman" w:cs="Times New Roman"/>
          <w:sz w:val="24"/>
          <w:szCs w:val="24"/>
        </w:rPr>
        <w:t xml:space="preserve">such as </w:t>
      </w:r>
      <w:r>
        <w:rPr>
          <w:rFonts w:ascii="Times New Roman" w:hAnsi="Times New Roman" w:cs="Times New Roman"/>
          <w:sz w:val="24"/>
          <w:szCs w:val="24"/>
        </w:rPr>
        <w:t>geographically strategic terrestrial, marine, and freshwater from the African continen</w:t>
      </w:r>
      <w:r>
        <w:rPr>
          <w:rFonts w:hint="eastAsia" w:ascii="Times New Roman" w:hAnsi="Times New Roman" w:cs="Times New Roman"/>
          <w:sz w:val="24"/>
          <w:szCs w:val="24"/>
        </w:rPr>
        <w:t>t. His lab has dissected</w:t>
      </w:r>
      <w:r>
        <w:rPr>
          <w:rFonts w:ascii="Times New Roman" w:hAnsi="Times New Roman" w:cs="Times New Roman"/>
          <w:sz w:val="24"/>
          <w:szCs w:val="24"/>
        </w:rPr>
        <w:t xml:space="preserve"> genetic, phylogenetic and functional mechanisms that shape microbiome diversity of polar and alpine soils</w:t>
      </w:r>
      <w:r>
        <w:rPr>
          <w:rFonts w:hint="eastAsia" w:ascii="Times New Roman" w:hAnsi="Times New Roman" w:cs="Times New Roman"/>
          <w:sz w:val="24"/>
          <w:szCs w:val="24"/>
        </w:rPr>
        <w:t>. He also serves as the</w:t>
      </w:r>
      <w:r>
        <w:rPr>
          <w:rFonts w:ascii="Times New Roman" w:hAnsi="Times New Roman" w:cs="Times New Roman"/>
          <w:sz w:val="24"/>
          <w:szCs w:val="24"/>
        </w:rPr>
        <w:t xml:space="preserve"> Editor in Chief</w:t>
      </w:r>
      <w:r>
        <w:rPr>
          <w:rFonts w:hint="eastAsia" w:ascii="Times New Roman" w:hAnsi="Times New Roman" w:cs="Times New Roman"/>
          <w:sz w:val="24"/>
          <w:szCs w:val="24"/>
        </w:rPr>
        <w:t xml:space="preserve"> for</w:t>
      </w:r>
      <w:r>
        <w:rPr>
          <w:rFonts w:ascii="Times New Roman" w:hAnsi="Times New Roman" w:cs="Times New Roman"/>
          <w:sz w:val="24"/>
          <w:szCs w:val="24"/>
        </w:rPr>
        <w:t xml:space="preserve"> Reviews and Perspectives</w:t>
      </w:r>
      <w:r>
        <w:rPr>
          <w:rFonts w:hint="eastAsia" w:ascii="Times New Roman" w:hAnsi="Times New Roman" w:cs="Times New Roman"/>
          <w:sz w:val="24"/>
          <w:szCs w:val="24"/>
        </w:rPr>
        <w:t xml:space="preserve"> at </w:t>
      </w:r>
      <w:r>
        <w:rPr>
          <w:rFonts w:ascii="Times New Roman" w:hAnsi="Times New Roman" w:cs="Times New Roman"/>
          <w:sz w:val="24"/>
          <w:szCs w:val="24"/>
        </w:rPr>
        <w:t>the</w:t>
      </w:r>
      <w:r>
        <w:rPr>
          <w:rFonts w:hint="eastAsia" w:ascii="Times New Roman" w:hAnsi="Times New Roman" w:cs="Times New Roman"/>
          <w:sz w:val="24"/>
          <w:szCs w:val="24"/>
        </w:rPr>
        <w:t xml:space="preserve"> ISME journal.</w:t>
      </w:r>
    </w:p>
    <w:p w14:paraId="1F27015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sz w:val="24"/>
          <w:szCs w:val="24"/>
        </w:rPr>
      </w:pPr>
      <w:r>
        <w:rPr>
          <w:rFonts w:hint="eastAsia" w:ascii="Times New Roman" w:hAnsi="Times New Roman" w:cs="Times New Roman"/>
          <w:sz w:val="24"/>
          <w:szCs w:val="24"/>
        </w:rPr>
        <w:t xml:space="preserve">Speaker 4: </w:t>
      </w:r>
      <w:r>
        <w:rPr>
          <w:rFonts w:ascii="Times New Roman" w:hAnsi="Times New Roman" w:cs="Times New Roman"/>
          <w:b/>
          <w:bCs/>
          <w:sz w:val="24"/>
          <w:szCs w:val="24"/>
        </w:rPr>
        <w:t>Zhongjun Jia</w:t>
      </w:r>
      <w:r>
        <w:rPr>
          <w:rFonts w:ascii="Times New Roman" w:hAnsi="Times New Roman" w:cs="Times New Roman"/>
          <w:sz w:val="24"/>
          <w:szCs w:val="24"/>
        </w:rPr>
        <w:t xml:space="preserve">. Dr. Jia is a CAS Distinguished Professor. He obtained PhD (2002) at the CAS Institute of Soil Science, followed by postdoctoral work at USDA/ARS, Nagoya University (Japan), and Max Planck Institute for Terrestrial Microbiology (Germany). Dr. Jia has been awarded CAS 100-Talent Program (2008); ‘Best-of-the-best of Awardees’ (2012); Distinguished Professor (2015). His research focuses on the ecophysiology of ammonia and methane oxidizers. Dr. Jia has expertise on stable-isotope probing of soil microbiome and omics techniques and organized the training workshop and seminar. He was awarded 11 national research grants, published A total of 260 papers including 189 papers in SCI-indexed </w:t>
      </w:r>
      <w:r>
        <w:rPr>
          <w:rFonts w:hint="eastAsia" w:ascii="Times New Roman" w:hAnsi="Times New Roman" w:cs="Times New Roman"/>
          <w:sz w:val="24"/>
          <w:szCs w:val="24"/>
        </w:rPr>
        <w:t>j</w:t>
      </w:r>
      <w:r>
        <w:rPr>
          <w:rFonts w:ascii="Times New Roman" w:hAnsi="Times New Roman" w:cs="Times New Roman"/>
          <w:sz w:val="24"/>
          <w:szCs w:val="24"/>
        </w:rPr>
        <w:t>ournal in English and 71 in Chinese journals. (40% published in tier-1 SCI-indexed journal</w:t>
      </w:r>
      <w:r>
        <w:rPr>
          <w:rFonts w:hint="eastAsia" w:ascii="Times New Roman" w:hAnsi="Times New Roman" w:cs="Times New Roman"/>
          <w:sz w:val="24"/>
          <w:szCs w:val="24"/>
        </w:rPr>
        <w:t>s</w:t>
      </w:r>
      <w:r>
        <w:rPr>
          <w:rFonts w:ascii="Times New Roman" w:hAnsi="Times New Roman" w:cs="Times New Roman"/>
          <w:sz w:val="24"/>
          <w:szCs w:val="24"/>
        </w:rPr>
        <w:t>), and collaborated with colleagues from 23 countries</w:t>
      </w:r>
      <w:r>
        <w:rPr>
          <w:rFonts w:hint="eastAsia" w:ascii="Times New Roman" w:hAnsi="Times New Roman" w:cs="Times New Roman"/>
          <w:sz w:val="24"/>
          <w:szCs w:val="24"/>
        </w:rPr>
        <w:t>.</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F5F3BA4">
            <w:pPr>
              <w:pStyle w:val="6"/>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737FD3CC">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831B">
    <w:pPr>
      <w:pStyle w:val="7"/>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A64D4FC">
                          <w:pPr>
                            <w:jc w:val="right"/>
                            <w:rPr>
                              <w:rFonts w:ascii="Times New Roman" w:hAnsi="Times New Roman" w:cs="Times New Roman"/>
                              <w:sz w:val="24"/>
                            </w:rPr>
                          </w:pPr>
                          <w:r>
                            <w:rPr>
                              <w:rFonts w:ascii="Times New Roman" w:hAnsi="Times New Roman" w:cs="Times New Roman"/>
                              <w:sz w:val="24"/>
                            </w:rPr>
                            <w:t>June 7-12, 2026</w:t>
                          </w:r>
                        </w:p>
                        <w:p w14:paraId="694BAE1F">
                          <w:pPr>
                            <w:jc w:val="right"/>
                            <w:rPr>
                              <w:rFonts w:ascii="Times New Roman" w:hAnsi="Times New Roman" w:cs="Times New Roman"/>
                              <w:sz w:val="24"/>
                            </w:rPr>
                          </w:pPr>
                          <w:r>
                            <w:rPr>
                              <w:rFonts w:ascii="Times New Roman" w:hAnsi="Times New Roman" w:cs="Times New Roman"/>
                              <w:sz w:val="24"/>
                            </w:rPr>
                            <w:t>Nanjing, China</w:t>
                          </w:r>
                        </w:p>
                        <w:p w14:paraId="1763CEA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A64D4FC">
                    <w:pPr>
                      <w:jc w:val="right"/>
                      <w:rPr>
                        <w:rFonts w:ascii="Times New Roman" w:hAnsi="Times New Roman" w:cs="Times New Roman"/>
                        <w:sz w:val="24"/>
                      </w:rPr>
                    </w:pPr>
                    <w:r>
                      <w:rPr>
                        <w:rFonts w:ascii="Times New Roman" w:hAnsi="Times New Roman" w:cs="Times New Roman"/>
                        <w:sz w:val="24"/>
                      </w:rPr>
                      <w:t>June 7-12, 2026</w:t>
                    </w:r>
                  </w:p>
                  <w:p w14:paraId="694BAE1F">
                    <w:pPr>
                      <w:jc w:val="right"/>
                      <w:rPr>
                        <w:rFonts w:ascii="Times New Roman" w:hAnsi="Times New Roman" w:cs="Times New Roman"/>
                        <w:sz w:val="24"/>
                      </w:rPr>
                    </w:pPr>
                    <w:r>
                      <w:rPr>
                        <w:rFonts w:ascii="Times New Roman" w:hAnsi="Times New Roman" w:cs="Times New Roman"/>
                        <w:sz w:val="24"/>
                      </w:rPr>
                      <w:t>Nanjing, China</w:t>
                    </w:r>
                  </w:p>
                  <w:p w14:paraId="1763CEA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402FD0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1B0EA6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402FD0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1B0EA6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3F5742E">
    <w:pPr>
      <w:pStyle w:val="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91EB6"/>
    <w:rsid w:val="00094CE4"/>
    <w:rsid w:val="000C7E7E"/>
    <w:rsid w:val="000E7758"/>
    <w:rsid w:val="00157F92"/>
    <w:rsid w:val="00163A97"/>
    <w:rsid w:val="0017019B"/>
    <w:rsid w:val="00172FDC"/>
    <w:rsid w:val="001800CD"/>
    <w:rsid w:val="001B3319"/>
    <w:rsid w:val="00225AE3"/>
    <w:rsid w:val="0028014C"/>
    <w:rsid w:val="002A7493"/>
    <w:rsid w:val="002B086D"/>
    <w:rsid w:val="003072A0"/>
    <w:rsid w:val="003130D6"/>
    <w:rsid w:val="003149D8"/>
    <w:rsid w:val="00336086"/>
    <w:rsid w:val="00380A34"/>
    <w:rsid w:val="0038654F"/>
    <w:rsid w:val="003A451C"/>
    <w:rsid w:val="003A57E6"/>
    <w:rsid w:val="003B7BE2"/>
    <w:rsid w:val="003F15C2"/>
    <w:rsid w:val="003F7A13"/>
    <w:rsid w:val="0042272B"/>
    <w:rsid w:val="00447942"/>
    <w:rsid w:val="0045312A"/>
    <w:rsid w:val="004544C5"/>
    <w:rsid w:val="004578CF"/>
    <w:rsid w:val="004A54C5"/>
    <w:rsid w:val="004E13D9"/>
    <w:rsid w:val="00532DAA"/>
    <w:rsid w:val="005D1676"/>
    <w:rsid w:val="006108F1"/>
    <w:rsid w:val="006228CA"/>
    <w:rsid w:val="00672FCB"/>
    <w:rsid w:val="006C53AF"/>
    <w:rsid w:val="006C58DF"/>
    <w:rsid w:val="006D49E8"/>
    <w:rsid w:val="006D4C61"/>
    <w:rsid w:val="0072420E"/>
    <w:rsid w:val="00785DCD"/>
    <w:rsid w:val="00787795"/>
    <w:rsid w:val="00787E47"/>
    <w:rsid w:val="0085308A"/>
    <w:rsid w:val="008C3303"/>
    <w:rsid w:val="009A285A"/>
    <w:rsid w:val="009B5B58"/>
    <w:rsid w:val="00A33A80"/>
    <w:rsid w:val="00A574D6"/>
    <w:rsid w:val="00A854AA"/>
    <w:rsid w:val="00AB76C8"/>
    <w:rsid w:val="00AC0BEB"/>
    <w:rsid w:val="00AC1804"/>
    <w:rsid w:val="00AC1C48"/>
    <w:rsid w:val="00AF112F"/>
    <w:rsid w:val="00B066ED"/>
    <w:rsid w:val="00B313FC"/>
    <w:rsid w:val="00B57C54"/>
    <w:rsid w:val="00B6207F"/>
    <w:rsid w:val="00BC5A2B"/>
    <w:rsid w:val="00BF2ADB"/>
    <w:rsid w:val="00C10BFB"/>
    <w:rsid w:val="00C469B3"/>
    <w:rsid w:val="00C50611"/>
    <w:rsid w:val="00C52D9A"/>
    <w:rsid w:val="00C74BF5"/>
    <w:rsid w:val="00C77400"/>
    <w:rsid w:val="00C9460A"/>
    <w:rsid w:val="00CB306A"/>
    <w:rsid w:val="00CD29A2"/>
    <w:rsid w:val="00CF5222"/>
    <w:rsid w:val="00D33C59"/>
    <w:rsid w:val="00D34758"/>
    <w:rsid w:val="00D47459"/>
    <w:rsid w:val="00D50F3D"/>
    <w:rsid w:val="00D76675"/>
    <w:rsid w:val="00DA71FD"/>
    <w:rsid w:val="00DC6AF0"/>
    <w:rsid w:val="00DE2172"/>
    <w:rsid w:val="00DE2C60"/>
    <w:rsid w:val="00DF11EE"/>
    <w:rsid w:val="00E01A3A"/>
    <w:rsid w:val="00E30309"/>
    <w:rsid w:val="00E612FE"/>
    <w:rsid w:val="00E94B4A"/>
    <w:rsid w:val="00F018BD"/>
    <w:rsid w:val="00F952A0"/>
    <w:rsid w:val="00FA2133"/>
    <w:rsid w:val="00FD0305"/>
    <w:rsid w:val="00FE033D"/>
    <w:rsid w:val="00FF2CBD"/>
    <w:rsid w:val="50002E58"/>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4">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semiHidden/>
    <w:unhideWhenUsed/>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annotation subject"/>
    <w:basedOn w:val="5"/>
    <w:next w:val="5"/>
    <w:link w:val="19"/>
    <w:semiHidden/>
    <w:unhideWhenUsed/>
    <w:qFormat/>
    <w:uiPriority w:val="99"/>
    <w:rPr>
      <w:b/>
      <w:bCs/>
    </w:rPr>
  </w:style>
  <w:style w:type="character" w:styleId="12">
    <w:name w:val="Hyperlink"/>
    <w:basedOn w:val="11"/>
    <w:autoRedefine/>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9"/>
    <w:rPr>
      <w:b/>
      <w:bCs/>
      <w:kern w:val="44"/>
      <w:sz w:val="44"/>
      <w:szCs w:val="44"/>
    </w:rPr>
  </w:style>
  <w:style w:type="character" w:customStyle="1" w:styleId="18">
    <w:name w:val="批注文字 字符"/>
    <w:basedOn w:val="11"/>
    <w:link w:val="5"/>
    <w:semiHidden/>
    <w:qFormat/>
    <w:uiPriority w:val="99"/>
  </w:style>
  <w:style w:type="character" w:customStyle="1" w:styleId="19">
    <w:name w:val="批注主题 字符"/>
    <w:basedOn w:val="18"/>
    <w:link w:val="9"/>
    <w:semiHidden/>
    <w:qFormat/>
    <w:uiPriority w:val="99"/>
    <w:rPr>
      <w:b/>
      <w:bCs/>
    </w:rPr>
  </w:style>
  <w:style w:type="character" w:customStyle="1" w:styleId="20">
    <w:name w:val="未处理的提及1"/>
    <w:basedOn w:val="11"/>
    <w:semiHidden/>
    <w:unhideWhenUsed/>
    <w:qFormat/>
    <w:uiPriority w:val="99"/>
    <w:rPr>
      <w:color w:val="605E5C"/>
      <w:shd w:val="clear" w:color="auto" w:fill="E1DFDD"/>
    </w:rPr>
  </w:style>
  <w:style w:type="character" w:customStyle="1" w:styleId="21">
    <w:name w:val="Unresolved Mention"/>
    <w:basedOn w:val="11"/>
    <w:semiHidden/>
    <w:unhideWhenUsed/>
    <w:qFormat/>
    <w:uiPriority w:val="99"/>
    <w:rPr>
      <w:color w:val="605E5C"/>
      <w:shd w:val="clear" w:color="auto" w:fill="E1DFDD"/>
    </w:rPr>
  </w:style>
  <w:style w:type="character" w:customStyle="1" w:styleId="22">
    <w:name w:val="标题 3 字符"/>
    <w:basedOn w:val="11"/>
    <w:link w:val="3"/>
    <w:semiHidden/>
    <w:qFormat/>
    <w:uiPriority w:val="9"/>
    <w:rPr>
      <w:b/>
      <w:bCs/>
      <w:kern w:val="2"/>
      <w:sz w:val="32"/>
      <w:szCs w:val="32"/>
    </w:rPr>
  </w:style>
  <w:style w:type="character" w:customStyle="1" w:styleId="23">
    <w:name w:val="标题 5 字符"/>
    <w:basedOn w:val="11"/>
    <w:link w:val="4"/>
    <w:semiHidden/>
    <w:qFormat/>
    <w:uiPriority w:val="9"/>
    <w:rPr>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742</Words>
  <Characters>4751</Characters>
  <Lines>40</Lines>
  <Paragraphs>11</Paragraphs>
  <TotalTime>0</TotalTime>
  <ScaleCrop>false</ScaleCrop>
  <LinksUpToDate>false</LinksUpToDate>
  <CharactersWithSpaces>5468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2025-03-29T07:01:00Z</dcterms:created>
  <dc:creator>菲菲 唐</dc:creator>
  <cp:lastModifiedBy>菲菲菲菲糖</cp:lastModifiedBy>
  <dcterms:modified xsi:type="dcterms:W3CDTF">2025-06-04T05:59:34Z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