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55DB">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3DAD7A4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4338560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Occurrence, mechanisms, and behavior of soil water repellency</w:t>
      </w:r>
    </w:p>
    <w:p w14:paraId="6348FD6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Organizers </w:t>
      </w:r>
    </w:p>
    <w:p w14:paraId="5A3560A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Jiefei Mao</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Xinjiang Institute of Ecology and Geography, Chinese Academy of Sciences</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mjf@ms.xjb.ac.cn</w:t>
      </w:r>
      <w:r>
        <w:rPr>
          <w:rFonts w:ascii="Times New Roman" w:hAnsi="Times New Roman" w:cs="Times New Roman"/>
          <w:color w:val="auto"/>
          <w:sz w:val="24"/>
          <w:szCs w:val="24"/>
        </w:rPr>
        <w:t>, primary contact person</w:t>
      </w:r>
    </w:p>
    <w:p w14:paraId="13390FD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D.A.L. Leelamanie</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Faculty of Agriculture, University of Ruhuna</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leelamanie@soil.ruh.ac.lk</w:t>
      </w:r>
    </w:p>
    <w:p w14:paraId="06BBE1F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Description</w:t>
      </w:r>
    </w:p>
    <w:p w14:paraId="70D755A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The </w:t>
      </w:r>
      <w:r>
        <w:rPr>
          <w:rFonts w:hint="eastAsia" w:ascii="Times New Roman" w:hAnsi="Times New Roman" w:cs="Times New Roman"/>
          <w:color w:val="auto"/>
          <w:sz w:val="24"/>
          <w:szCs w:val="24"/>
        </w:rPr>
        <w:t>session</w:t>
      </w:r>
      <w:r>
        <w:rPr>
          <w:rFonts w:ascii="Times New Roman" w:hAnsi="Times New Roman" w:cs="Times New Roman"/>
          <w:color w:val="auto"/>
          <w:sz w:val="24"/>
          <w:szCs w:val="24"/>
        </w:rPr>
        <w:t xml:space="preserve"> will </w:t>
      </w:r>
      <w:r>
        <w:rPr>
          <w:rFonts w:hint="eastAsia" w:ascii="Times New Roman" w:hAnsi="Times New Roman" w:cs="Times New Roman"/>
          <w:color w:val="auto"/>
          <w:sz w:val="24"/>
          <w:szCs w:val="24"/>
        </w:rPr>
        <w:t>introduce a new role of soil water repellency (SWR) in ecosystem stability and environmental sustainability. SWR is a widespread yet critical phenomenon influen</w:t>
      </w:r>
      <w:bookmarkStart w:id="0" w:name="_GoBack"/>
      <w:bookmarkEnd w:id="0"/>
      <w:r>
        <w:rPr>
          <w:rFonts w:hint="eastAsia" w:ascii="Times New Roman" w:hAnsi="Times New Roman" w:cs="Times New Roman"/>
          <w:color w:val="auto"/>
          <w:sz w:val="24"/>
          <w:szCs w:val="24"/>
        </w:rPr>
        <w:t>cing hydrological processes, agricultural sustainability, and ecosystem functioning</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 xml:space="preserve">This session will showcase </w:t>
      </w:r>
      <w:r>
        <w:rPr>
          <w:rFonts w:ascii="Times New Roman" w:hAnsi="Times New Roman" w:cs="Times New Roman"/>
          <w:color w:val="auto"/>
          <w:sz w:val="24"/>
          <w:szCs w:val="24"/>
        </w:rPr>
        <w:t>the occurrence</w:t>
      </w:r>
      <w:r>
        <w:rPr>
          <w:rFonts w:hint="eastAsia" w:ascii="Times New Roman" w:hAnsi="Times New Roman" w:cs="Times New Roman"/>
          <w:color w:val="auto"/>
          <w:sz w:val="24"/>
          <w:szCs w:val="24"/>
        </w:rPr>
        <w:t xml:space="preserve"> patterns across diverse ecosystems (forests, agricultural lands, grasslands, post-fire landscapes</w:t>
      </w:r>
      <w:r>
        <w:rPr>
          <w:rFonts w:ascii="Times New Roman" w:hAnsi="Times New Roman" w:cs="Times New Roman"/>
          <w:color w:val="auto"/>
          <w:sz w:val="24"/>
          <w:szCs w:val="24"/>
        </w:rPr>
        <w:t>)</w:t>
      </w:r>
      <w:r>
        <w:rPr>
          <w:rFonts w:hint="eastAsia" w:ascii="Times New Roman" w:hAnsi="Times New Roman" w:cs="Times New Roman"/>
          <w:color w:val="auto"/>
          <w:sz w:val="24"/>
          <w:szCs w:val="24"/>
        </w:rPr>
        <w:t xml:space="preserve">. We invite contributions from </w:t>
      </w:r>
      <w:r>
        <w:rPr>
          <w:rFonts w:ascii="Times New Roman" w:hAnsi="Times New Roman" w:cs="Times New Roman"/>
          <w:color w:val="auto"/>
          <w:sz w:val="24"/>
          <w:szCs w:val="24"/>
        </w:rPr>
        <w:t>laboratory</w:t>
      </w:r>
      <w:r>
        <w:rPr>
          <w:rFonts w:hint="eastAsia" w:ascii="Times New Roman" w:hAnsi="Times New Roman" w:cs="Times New Roman"/>
          <w:color w:val="auto"/>
          <w:sz w:val="24"/>
          <w:szCs w:val="24"/>
        </w:rPr>
        <w:t xml:space="preserve"> experiments, field observation, or modelling studies that delve into the persistence of SWR while highlighting emerging evidence of its physical, chemical, and biological </w:t>
      </w:r>
      <w:r>
        <w:rPr>
          <w:rFonts w:ascii="Times New Roman" w:hAnsi="Times New Roman" w:cs="Times New Roman"/>
          <w:color w:val="auto"/>
          <w:sz w:val="24"/>
          <w:szCs w:val="24"/>
        </w:rPr>
        <w:t>underpinnings.</w:t>
      </w:r>
      <w:r>
        <w:rPr>
          <w:rFonts w:hint="eastAsia" w:ascii="Times New Roman" w:hAnsi="Times New Roman" w:cs="Times New Roman"/>
          <w:color w:val="auto"/>
          <w:sz w:val="24"/>
          <w:szCs w:val="24"/>
        </w:rPr>
        <w:t xml:space="preserve"> The implication of SWR on </w:t>
      </w:r>
      <w:r>
        <w:rPr>
          <w:rFonts w:ascii="Times New Roman" w:hAnsi="Times New Roman" w:cs="Times New Roman"/>
          <w:color w:val="auto"/>
          <w:sz w:val="24"/>
          <w:szCs w:val="24"/>
        </w:rPr>
        <w:t>soil</w:t>
      </w:r>
      <w:r>
        <w:rPr>
          <w:rFonts w:hint="eastAsia" w:ascii="Times New Roman" w:hAnsi="Times New Roman" w:cs="Times New Roman"/>
          <w:color w:val="auto"/>
          <w:sz w:val="24"/>
          <w:szCs w:val="24"/>
        </w:rPr>
        <w:t xml:space="preserve">-plant feedback, carbon-water-nutrient cycling, and soil </w:t>
      </w:r>
      <w:r>
        <w:rPr>
          <w:rFonts w:ascii="Times New Roman" w:hAnsi="Times New Roman" w:cs="Times New Roman"/>
          <w:color w:val="auto"/>
          <w:sz w:val="24"/>
          <w:szCs w:val="24"/>
        </w:rPr>
        <w:t>amendment</w:t>
      </w:r>
      <w:r>
        <w:rPr>
          <w:rFonts w:hint="eastAsia" w:ascii="Times New Roman" w:hAnsi="Times New Roman" w:cs="Times New Roman"/>
          <w:color w:val="auto"/>
          <w:sz w:val="24"/>
          <w:szCs w:val="24"/>
        </w:rPr>
        <w:t xml:space="preserve"> strategies from nanoscale to the whole ecosystem level were welcome to share </w:t>
      </w:r>
      <w:r>
        <w:rPr>
          <w:rFonts w:ascii="Times New Roman" w:hAnsi="Times New Roman" w:cs="Times New Roman"/>
          <w:color w:val="auto"/>
          <w:sz w:val="24"/>
          <w:szCs w:val="24"/>
        </w:rPr>
        <w:t>in the</w:t>
      </w:r>
      <w:r>
        <w:rPr>
          <w:rFonts w:hint="eastAsia" w:ascii="Times New Roman" w:hAnsi="Times New Roman" w:cs="Times New Roman"/>
          <w:color w:val="auto"/>
          <w:sz w:val="24"/>
          <w:szCs w:val="24"/>
        </w:rPr>
        <w:t xml:space="preserve"> session. SWR challenges traditional soil-water relationship paradigms, with growing global significance under climate change scenarios</w:t>
      </w:r>
      <w:r>
        <w:rPr>
          <w:rFonts w:ascii="Times New Roman" w:hAnsi="Times New Roman" w:cs="Times New Roman"/>
          <w:color w:val="auto"/>
          <w:sz w:val="24"/>
          <w:szCs w:val="24"/>
        </w:rPr>
        <w:t xml:space="preserve"> </w:t>
      </w:r>
      <w:r>
        <w:rPr>
          <w:rFonts w:hint="eastAsia" w:ascii="Times New Roman" w:hAnsi="Times New Roman" w:cs="Times New Roman"/>
          <w:color w:val="auto"/>
          <w:sz w:val="24"/>
          <w:szCs w:val="24"/>
        </w:rPr>
        <w:t xml:space="preserve">and </w:t>
      </w:r>
      <w:r>
        <w:rPr>
          <w:rFonts w:ascii="Times New Roman" w:hAnsi="Times New Roman" w:cs="Times New Roman"/>
          <w:color w:val="auto"/>
          <w:sz w:val="24"/>
          <w:szCs w:val="24"/>
        </w:rPr>
        <w:t>intensive</w:t>
      </w:r>
      <w:r>
        <w:rPr>
          <w:rFonts w:hint="eastAsia" w:ascii="Times New Roman" w:hAnsi="Times New Roman" w:cs="Times New Roman"/>
          <w:color w:val="auto"/>
          <w:sz w:val="24"/>
          <w:szCs w:val="24"/>
        </w:rPr>
        <w:t xml:space="preserve"> human activity, creating a pressing need for cross-disciplinary collaboration. </w:t>
      </w:r>
      <w:r>
        <w:rPr>
          <w:rFonts w:ascii="Times New Roman" w:hAnsi="Times New Roman" w:cs="Times New Roman"/>
          <w:color w:val="auto"/>
          <w:sz w:val="24"/>
          <w:szCs w:val="24"/>
        </w:rPr>
        <w:t>T</w:t>
      </w:r>
      <w:r>
        <w:rPr>
          <w:rFonts w:hint="eastAsia" w:ascii="Times New Roman" w:hAnsi="Times New Roman" w:cs="Times New Roman"/>
          <w:color w:val="auto"/>
          <w:sz w:val="24"/>
          <w:szCs w:val="24"/>
        </w:rPr>
        <w:t xml:space="preserve">he </w:t>
      </w:r>
      <w:r>
        <w:rPr>
          <w:rFonts w:ascii="Times New Roman" w:hAnsi="Times New Roman" w:cs="Times New Roman"/>
          <w:color w:val="auto"/>
          <w:sz w:val="24"/>
          <w:szCs w:val="24"/>
        </w:rPr>
        <w:t>session</w:t>
      </w:r>
      <w:r>
        <w:rPr>
          <w:rFonts w:hint="eastAsia" w:ascii="Times New Roman" w:hAnsi="Times New Roman" w:cs="Times New Roman"/>
          <w:color w:val="auto"/>
          <w:sz w:val="24"/>
          <w:szCs w:val="24"/>
        </w:rPr>
        <w:t xml:space="preserve"> will </w:t>
      </w:r>
      <w:r>
        <w:rPr>
          <w:rFonts w:ascii="Times New Roman" w:hAnsi="Times New Roman" w:cs="Times New Roman"/>
          <w:color w:val="auto"/>
          <w:sz w:val="24"/>
          <w:szCs w:val="24"/>
        </w:rPr>
        <w:t>bridge</w:t>
      </w:r>
      <w:r>
        <w:rPr>
          <w:rFonts w:hint="eastAsia" w:ascii="Times New Roman" w:hAnsi="Times New Roman" w:cs="Times New Roman"/>
          <w:color w:val="auto"/>
          <w:sz w:val="24"/>
          <w:szCs w:val="24"/>
        </w:rPr>
        <w:t xml:space="preserve"> soil science, hydrology, ecology, </w:t>
      </w:r>
      <w:r>
        <w:rPr>
          <w:rFonts w:ascii="Times New Roman" w:hAnsi="Times New Roman" w:cs="Times New Roman"/>
          <w:color w:val="auto"/>
          <w:sz w:val="24"/>
          <w:szCs w:val="24"/>
        </w:rPr>
        <w:t>environmental</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science</w:t>
      </w:r>
      <w:r>
        <w:rPr>
          <w:rFonts w:hint="eastAsia" w:ascii="Times New Roman" w:hAnsi="Times New Roman" w:cs="Times New Roman"/>
          <w:color w:val="auto"/>
          <w:sz w:val="24"/>
          <w:szCs w:val="24"/>
        </w:rPr>
        <w:t xml:space="preserve"> and agronomy, clarify the new role of SWR in</w:t>
      </w:r>
      <w:r>
        <w:rPr>
          <w:rFonts w:hint="eastAsia"/>
          <w:color w:val="auto"/>
        </w:rPr>
        <w:t xml:space="preserve"> </w:t>
      </w:r>
      <w:r>
        <w:rPr>
          <w:rFonts w:hint="eastAsia" w:ascii="Times New Roman" w:hAnsi="Times New Roman" w:cs="Times New Roman"/>
          <w:color w:val="auto"/>
          <w:sz w:val="24"/>
          <w:szCs w:val="24"/>
        </w:rPr>
        <w:t xml:space="preserve">carbon sequestration dynamics, adaptive strategies for water-repellent </w:t>
      </w:r>
      <w:r>
        <w:rPr>
          <w:rFonts w:ascii="Times New Roman" w:hAnsi="Times New Roman" w:cs="Times New Roman"/>
          <w:color w:val="auto"/>
          <w:sz w:val="24"/>
          <w:szCs w:val="24"/>
        </w:rPr>
        <w:t>soil</w:t>
      </w:r>
      <w:r>
        <w:rPr>
          <w:rFonts w:hint="eastAsia" w:ascii="Times New Roman" w:hAnsi="Times New Roman" w:cs="Times New Roman"/>
          <w:color w:val="auto"/>
          <w:sz w:val="24"/>
          <w:szCs w:val="24"/>
        </w:rPr>
        <w:t xml:space="preserve"> in arid and semi-arid regions. The session will foster dialogue and </w:t>
      </w:r>
      <w:r>
        <w:rPr>
          <w:rFonts w:ascii="Times New Roman" w:hAnsi="Times New Roman" w:cs="Times New Roman"/>
          <w:color w:val="auto"/>
          <w:sz w:val="24"/>
          <w:szCs w:val="24"/>
        </w:rPr>
        <w:t>collaboration</w:t>
      </w:r>
      <w:r>
        <w:rPr>
          <w:rFonts w:hint="eastAsia" w:ascii="Times New Roman" w:hAnsi="Times New Roman" w:cs="Times New Roman"/>
          <w:color w:val="auto"/>
          <w:sz w:val="24"/>
          <w:szCs w:val="24"/>
        </w:rPr>
        <w:t xml:space="preserve"> between researchers and practitioners, advancing both fundamental understanding and practical solutions in addressing this globally significant soil property.</w:t>
      </w:r>
    </w:p>
    <w:p w14:paraId="0FFED579">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Format </w:t>
      </w:r>
    </w:p>
    <w:p w14:paraId="24F7A10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Oral presentations</w:t>
      </w:r>
      <w:r>
        <w:rPr>
          <w:rFonts w:hint="eastAsia" w:ascii="Times New Roman" w:hAnsi="Times New Roman" w:cs="Times New Roman"/>
          <w:color w:val="auto"/>
          <w:sz w:val="24"/>
          <w:szCs w:val="24"/>
        </w:rPr>
        <w:t>, Poster presentations</w:t>
      </w:r>
    </w:p>
    <w:p w14:paraId="4AE841B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Proposed Speakers </w:t>
      </w:r>
    </w:p>
    <w:p w14:paraId="3235D18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b/>
          <w:bCs/>
          <w:color w:val="auto"/>
          <w:sz w:val="24"/>
          <w:szCs w:val="24"/>
        </w:rPr>
        <w:t xml:space="preserve">Coen </w:t>
      </w:r>
      <w:r>
        <w:rPr>
          <w:rFonts w:ascii="Times New Roman" w:hAnsi="Times New Roman" w:cs="Times New Roman"/>
          <w:b/>
          <w:bCs/>
          <w:color w:val="auto"/>
          <w:sz w:val="24"/>
          <w:szCs w:val="24"/>
        </w:rPr>
        <w:t>Ritsema,</w:t>
      </w:r>
      <w:r>
        <w:rPr>
          <w:rFonts w:hint="eastAsia"/>
          <w:b/>
          <w:bCs/>
          <w:color w:val="auto"/>
        </w:rPr>
        <w:t xml:space="preserve"> </w:t>
      </w:r>
      <w:r>
        <w:rPr>
          <w:rFonts w:hint="eastAsia" w:ascii="Times New Roman" w:hAnsi="Times New Roman" w:cs="Times New Roman"/>
          <w:b/>
          <w:bCs/>
          <w:color w:val="auto"/>
          <w:sz w:val="24"/>
          <w:szCs w:val="24"/>
        </w:rPr>
        <w:t xml:space="preserve">Wageningen University, The </w:t>
      </w:r>
      <w:r>
        <w:rPr>
          <w:rFonts w:ascii="Times New Roman" w:hAnsi="Times New Roman" w:cs="Times New Roman"/>
          <w:b/>
          <w:bCs/>
          <w:color w:val="auto"/>
          <w:sz w:val="24"/>
          <w:szCs w:val="24"/>
        </w:rPr>
        <w:t>Netherlands</w:t>
      </w:r>
      <w:r>
        <w:rPr>
          <w:rFonts w:hint="eastAsia" w:ascii="Times New Roman" w:hAnsi="Times New Roman" w:cs="Times New Roman"/>
          <w:b/>
          <w:bCs/>
          <w:color w:val="auto"/>
          <w:sz w:val="24"/>
          <w:szCs w:val="24"/>
        </w:rPr>
        <w:t>.</w:t>
      </w:r>
      <w:r>
        <w:rPr>
          <w:rFonts w:ascii="Times New Roman" w:hAnsi="Times New Roman" w:cs="Times New Roman"/>
          <w:b/>
          <w:bCs/>
          <w:color w:val="auto"/>
          <w:sz w:val="24"/>
          <w:szCs w:val="24"/>
        </w:rPr>
        <w:t xml:space="preserve"> </w:t>
      </w:r>
      <w:r>
        <w:rPr>
          <w:rFonts w:hint="eastAsia" w:ascii="Times New Roman" w:hAnsi="Times New Roman" w:cs="Times New Roman"/>
          <w:color w:val="auto"/>
          <w:sz w:val="24"/>
          <w:szCs w:val="24"/>
        </w:rPr>
        <w:t xml:space="preserve">He is one of the leading experts in the field of soil-water repellency. With approximately 30 years of experience, he has conducted both fundamental and applied research in soil and water sciences. His publication record includes over 80 articles that have garnered more than 26,000 citations, resulting in a H-index of 83. </w:t>
      </w:r>
    </w:p>
    <w:p w14:paraId="50F2710C">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b/>
          <w:bCs/>
          <w:color w:val="auto"/>
          <w:sz w:val="24"/>
          <w:szCs w:val="24"/>
        </w:rPr>
        <w:t xml:space="preserve">Stefan Doerr, Swansea </w:t>
      </w:r>
      <w:r>
        <w:rPr>
          <w:rFonts w:ascii="Times New Roman" w:hAnsi="Times New Roman" w:cs="Times New Roman"/>
          <w:b/>
          <w:bCs/>
          <w:color w:val="auto"/>
          <w:sz w:val="24"/>
          <w:szCs w:val="24"/>
        </w:rPr>
        <w:t>University</w:t>
      </w:r>
      <w:r>
        <w:rPr>
          <w:rFonts w:hint="eastAsia" w:ascii="Times New Roman" w:hAnsi="Times New Roman" w:cs="Times New Roman"/>
          <w:b/>
          <w:bCs/>
          <w:color w:val="auto"/>
          <w:sz w:val="24"/>
          <w:szCs w:val="24"/>
        </w:rPr>
        <w:t xml:space="preserve">, UK. </w:t>
      </w:r>
      <w:r>
        <w:rPr>
          <w:rFonts w:hint="eastAsia" w:ascii="Times New Roman" w:hAnsi="Times New Roman" w:cs="Times New Roman"/>
          <w:color w:val="auto"/>
          <w:sz w:val="24"/>
          <w:szCs w:val="24"/>
        </w:rPr>
        <w:t xml:space="preserve">He is a pioneering researcher in wildfire-environment interactions, particularly regarding soil-water repellency and post-fire ecosystem recovery. His work significantly advances understanding of fire impacts on soil carbon dynamics, erosion processes, and hydrological systems. </w:t>
      </w:r>
    </w:p>
    <w:p w14:paraId="6B4D5D5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Jörg Bachmann, Leibniz University Hannover, Germany. He advances soil science by pioneering modeling approaches, connecting soil properties with climate dynamics and ecosystem functioning, while promoting sustainable environmental management.</w:t>
      </w:r>
    </w:p>
    <w:p w14:paraId="3CFD091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b/>
          <w:bCs/>
          <w:color w:val="auto"/>
          <w:sz w:val="24"/>
          <w:szCs w:val="24"/>
        </w:rPr>
        <w:t>Stefan Dekker, Utrecht University/ Netherlands Institute of Ecology (NIOO-KNAW) (starting from June), The Netherlands</w:t>
      </w:r>
      <w:r>
        <w:rPr>
          <w:rFonts w:hint="eastAsia" w:ascii="Times New Roman" w:hAnsi="Times New Roman" w:cs="Times New Roman"/>
          <w:color w:val="auto"/>
          <w:sz w:val="24"/>
          <w:szCs w:val="24"/>
        </w:rPr>
        <w:t xml:space="preserve">. His interdisciplinary research </w:t>
      </w:r>
      <w:r>
        <w:rPr>
          <w:rFonts w:ascii="Times New Roman" w:hAnsi="Times New Roman" w:cs="Times New Roman"/>
          <w:color w:val="auto"/>
          <w:sz w:val="24"/>
          <w:szCs w:val="24"/>
        </w:rPr>
        <w:t>is bridging</w:t>
      </w:r>
      <w:r>
        <w:rPr>
          <w:rFonts w:hint="eastAsia" w:ascii="Times New Roman" w:hAnsi="Times New Roman" w:cs="Times New Roman"/>
          <w:color w:val="auto"/>
          <w:sz w:val="24"/>
          <w:szCs w:val="24"/>
        </w:rPr>
        <w:t xml:space="preserve"> soil hydrology and ecology with soil functions, advancing soil science and sustainable ecosystems. His work integrates complex soil-water interactions and emphasizes societally impactful ecological management strategies.</w:t>
      </w:r>
    </w:p>
    <w:p w14:paraId="6FA9A63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b/>
          <w:bCs/>
          <w:color w:val="auto"/>
          <w:sz w:val="24"/>
          <w:szCs w:val="24"/>
        </w:rPr>
        <w:t xml:space="preserve">Karin </w:t>
      </w:r>
      <w:r>
        <w:rPr>
          <w:rFonts w:ascii="Times New Roman" w:hAnsi="Times New Roman" w:cs="Times New Roman"/>
          <w:b/>
          <w:bCs/>
          <w:color w:val="auto"/>
          <w:sz w:val="24"/>
          <w:szCs w:val="24"/>
        </w:rPr>
        <w:t>Müller</w:t>
      </w:r>
      <w:r>
        <w:rPr>
          <w:rFonts w:hint="eastAsia" w:ascii="Times New Roman" w:hAnsi="Times New Roman" w:cs="Times New Roman"/>
          <w:b/>
          <w:bCs/>
          <w:color w:val="auto"/>
          <w:sz w:val="24"/>
          <w:szCs w:val="24"/>
        </w:rPr>
        <w:t>, The New Zealand Institute for Plant and Food Research Limited, New Zealand.</w:t>
      </w:r>
      <w:r>
        <w:rPr>
          <w:rFonts w:hint="eastAsia" w:ascii="Times New Roman" w:hAnsi="Times New Roman" w:cs="Times New Roman"/>
          <w:color w:val="auto"/>
          <w:sz w:val="24"/>
          <w:szCs w:val="24"/>
        </w:rPr>
        <w:t xml:space="preserve"> She is a senior scientist expanding agro-environmental insights by innovatively analyzing agriculture</w:t>
      </w:r>
      <w:r>
        <w:rPr>
          <w:rFonts w:ascii="Times New Roman" w:hAnsi="Times New Roman" w:cs="Times New Roman"/>
          <w:color w:val="auto"/>
          <w:sz w:val="24"/>
          <w:szCs w:val="24"/>
        </w:rPr>
        <w:t>’</w:t>
      </w:r>
      <w:r>
        <w:rPr>
          <w:rFonts w:hint="eastAsia" w:ascii="Times New Roman" w:hAnsi="Times New Roman" w:cs="Times New Roman"/>
          <w:color w:val="auto"/>
          <w:sz w:val="24"/>
          <w:szCs w:val="24"/>
        </w:rPr>
        <w:t>s multifaceted impact on water-soil dynamics, carbon cycling, and nutrient processes.</w:t>
      </w:r>
    </w:p>
    <w:p w14:paraId="55B38C9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b/>
          <w:bCs/>
          <w:color w:val="auto"/>
          <w:sz w:val="24"/>
          <w:szCs w:val="24"/>
        </w:rPr>
        <w:t>Rony Wallach, Hebrew University of Jerusalem, Israel</w:t>
      </w:r>
      <w:r>
        <w:rPr>
          <w:rFonts w:hint="eastAsia" w:ascii="Times New Roman" w:hAnsi="Times New Roman" w:cs="Times New Roman"/>
          <w:color w:val="auto"/>
          <w:sz w:val="24"/>
          <w:szCs w:val="24"/>
        </w:rPr>
        <w:t>. He is a well-known expert working on soil-water dynamics and developing smart irrigation systems. With more than 30 years' expertise, His groundbreaking studies on water-repellent soils and effluent irrigation impacts revolutionized agricultural water management.</w:t>
      </w:r>
    </w:p>
    <w:p w14:paraId="6F05F48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eastAsia" w:ascii="Times New Roman" w:hAnsi="Times New Roman" w:cs="Times New Roman"/>
          <w:color w:val="auto"/>
          <w:sz w:val="24"/>
          <w:szCs w:val="24"/>
        </w:rPr>
      </w:pPr>
      <w:r>
        <w:rPr>
          <w:rFonts w:ascii="Times New Roman" w:hAnsi="Times New Roman" w:cs="Times New Roman"/>
          <w:b/>
          <w:bCs/>
          <w:color w:val="auto"/>
          <w:sz w:val="24"/>
          <w:szCs w:val="24"/>
        </w:rPr>
        <w:t>Peter Šurda, Institute of Hydrology, Bratislava, Slovak Republic</w:t>
      </w:r>
      <w:r>
        <w:rPr>
          <w:rFonts w:ascii="Times New Roman" w:hAnsi="Times New Roman" w:cs="Times New Roman"/>
          <w:color w:val="auto"/>
          <w:sz w:val="24"/>
          <w:szCs w:val="24"/>
        </w:rPr>
        <w:t>. He has contributed to significantly advanced research on soil water repellency. His contributions underscore his pivotal role in understanding and managing soil water repellency in various environmental contexts. He is the present Director of the Institute of Hydrology at the Slovak Academy of Sciences</w:t>
      </w:r>
    </w:p>
    <w:p w14:paraId="2FDF792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b/>
          <w:bCs/>
          <w:color w:val="auto"/>
          <w:sz w:val="24"/>
          <w:szCs w:val="24"/>
        </w:rPr>
        <w:t>Radka Kodešová, Department of Soil Science and Soil Protection, Czech University of Life Sciences, Prague, Czech Republic</w:t>
      </w:r>
      <w:r>
        <w:rPr>
          <w:rFonts w:ascii="Times New Roman" w:hAnsi="Times New Roman" w:cs="Times New Roman"/>
          <w:color w:val="auto"/>
          <w:sz w:val="24"/>
          <w:szCs w:val="24"/>
        </w:rPr>
        <w:t>. Her research interests span various aspects of soil science, with a particular focus on soil water repellency, soil contamination, and the interactions between soil, water, and pollutants. She has also contributed to studies on the behavior of micropollutants in soil and has collaborated on projects addressing the effects of soil organic matter and terrain properties on soil structure.</w:t>
      </w:r>
    </w:p>
    <w:p w14:paraId="19A2B1A7">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eastAsia" w:ascii="Times New Roman" w:hAnsi="Times New Roman" w:cs="Times New Roman"/>
          <w:color w:val="auto"/>
          <w:sz w:val="24"/>
          <w:szCs w:val="24"/>
        </w:rPr>
      </w:pPr>
      <w:r>
        <w:rPr>
          <w:rFonts w:ascii="Times New Roman" w:hAnsi="Times New Roman" w:cs="Times New Roman"/>
          <w:b/>
          <w:bCs/>
          <w:color w:val="auto"/>
          <w:sz w:val="24"/>
          <w:szCs w:val="24"/>
        </w:rPr>
        <w:t>Massimo Iovino, University of Palermo, Italy.</w:t>
      </w:r>
      <w:r>
        <w:rPr>
          <w:rFonts w:ascii="Times New Roman" w:hAnsi="Times New Roman" w:cs="Times New Roman"/>
          <w:color w:val="auto"/>
          <w:sz w:val="24"/>
          <w:szCs w:val="24"/>
        </w:rPr>
        <w:t xml:space="preserve"> He has collaborated for various research on assessing soil water repellency induced by plant species across different geographic regions, providing insights into how different plant species influence soil hydrophobicity, including the impact of reforestation. His research helps particularly in understanding and managing soil water repellency in Mediterranean environments.</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7D78C956">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DD0EBA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0E1CF">
    <w:pPr>
      <w:pStyle w:val="6"/>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599D76D">
                          <w:pPr>
                            <w:jc w:val="right"/>
                            <w:rPr>
                              <w:rFonts w:ascii="Times New Roman" w:hAnsi="Times New Roman" w:cs="Times New Roman"/>
                              <w:sz w:val="24"/>
                            </w:rPr>
                          </w:pPr>
                          <w:r>
                            <w:rPr>
                              <w:rFonts w:ascii="Times New Roman" w:hAnsi="Times New Roman" w:cs="Times New Roman"/>
                              <w:sz w:val="24"/>
                            </w:rPr>
                            <w:t>June 7-12, 2026</w:t>
                          </w:r>
                        </w:p>
                        <w:p w14:paraId="69EA4377">
                          <w:pPr>
                            <w:jc w:val="right"/>
                            <w:rPr>
                              <w:rFonts w:ascii="Times New Roman" w:hAnsi="Times New Roman" w:cs="Times New Roman"/>
                              <w:sz w:val="24"/>
                            </w:rPr>
                          </w:pPr>
                          <w:r>
                            <w:rPr>
                              <w:rFonts w:ascii="Times New Roman" w:hAnsi="Times New Roman" w:cs="Times New Roman"/>
                              <w:sz w:val="24"/>
                            </w:rPr>
                            <w:t>Nanjing, China</w:t>
                          </w:r>
                        </w:p>
                        <w:p w14:paraId="5B2B286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3599D76D">
                    <w:pPr>
                      <w:jc w:val="right"/>
                      <w:rPr>
                        <w:rFonts w:ascii="Times New Roman" w:hAnsi="Times New Roman" w:cs="Times New Roman"/>
                        <w:sz w:val="24"/>
                      </w:rPr>
                    </w:pPr>
                    <w:r>
                      <w:rPr>
                        <w:rFonts w:ascii="Times New Roman" w:hAnsi="Times New Roman" w:cs="Times New Roman"/>
                        <w:sz w:val="24"/>
                      </w:rPr>
                      <w:t>June 7-12, 2026</w:t>
                    </w:r>
                  </w:p>
                  <w:p w14:paraId="69EA4377">
                    <w:pPr>
                      <w:jc w:val="right"/>
                      <w:rPr>
                        <w:rFonts w:ascii="Times New Roman" w:hAnsi="Times New Roman" w:cs="Times New Roman"/>
                        <w:sz w:val="24"/>
                      </w:rPr>
                    </w:pPr>
                    <w:r>
                      <w:rPr>
                        <w:rFonts w:ascii="Times New Roman" w:hAnsi="Times New Roman" w:cs="Times New Roman"/>
                        <w:sz w:val="24"/>
                      </w:rPr>
                      <w:t>Nanjing, China</w:t>
                    </w:r>
                  </w:p>
                  <w:p w14:paraId="5B2B286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97F0CE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A1FE6D1">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597F0CE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A1FE6D1">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2673B1B2">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0294A"/>
    <w:rsid w:val="00006C4F"/>
    <w:rsid w:val="000403B9"/>
    <w:rsid w:val="0005588A"/>
    <w:rsid w:val="000E7758"/>
    <w:rsid w:val="00124015"/>
    <w:rsid w:val="00143E0B"/>
    <w:rsid w:val="00150ED8"/>
    <w:rsid w:val="00243C88"/>
    <w:rsid w:val="003130D6"/>
    <w:rsid w:val="00371C11"/>
    <w:rsid w:val="00394DB2"/>
    <w:rsid w:val="003A57E6"/>
    <w:rsid w:val="003B6A79"/>
    <w:rsid w:val="003B7BE2"/>
    <w:rsid w:val="0042272B"/>
    <w:rsid w:val="004268D9"/>
    <w:rsid w:val="0045312A"/>
    <w:rsid w:val="00482DF9"/>
    <w:rsid w:val="004E229F"/>
    <w:rsid w:val="00503D15"/>
    <w:rsid w:val="005317D3"/>
    <w:rsid w:val="00533033"/>
    <w:rsid w:val="00542889"/>
    <w:rsid w:val="005837EE"/>
    <w:rsid w:val="005C6622"/>
    <w:rsid w:val="0061462B"/>
    <w:rsid w:val="00620C41"/>
    <w:rsid w:val="006228CA"/>
    <w:rsid w:val="00672FCB"/>
    <w:rsid w:val="006A2A30"/>
    <w:rsid w:val="006B66A6"/>
    <w:rsid w:val="006C58DF"/>
    <w:rsid w:val="006D49E8"/>
    <w:rsid w:val="0070399E"/>
    <w:rsid w:val="007141B2"/>
    <w:rsid w:val="0072420E"/>
    <w:rsid w:val="00724A72"/>
    <w:rsid w:val="007556ED"/>
    <w:rsid w:val="0075577A"/>
    <w:rsid w:val="00770DF6"/>
    <w:rsid w:val="007B658B"/>
    <w:rsid w:val="0080555A"/>
    <w:rsid w:val="00873352"/>
    <w:rsid w:val="008937FB"/>
    <w:rsid w:val="009B5B58"/>
    <w:rsid w:val="00A01B4D"/>
    <w:rsid w:val="00A0473B"/>
    <w:rsid w:val="00A2505B"/>
    <w:rsid w:val="00A3096D"/>
    <w:rsid w:val="00A33A80"/>
    <w:rsid w:val="00A574D6"/>
    <w:rsid w:val="00AA2E13"/>
    <w:rsid w:val="00AB6031"/>
    <w:rsid w:val="00AC0BEB"/>
    <w:rsid w:val="00AD1418"/>
    <w:rsid w:val="00AD23BE"/>
    <w:rsid w:val="00AE3E8C"/>
    <w:rsid w:val="00B066ED"/>
    <w:rsid w:val="00B219DC"/>
    <w:rsid w:val="00B64F77"/>
    <w:rsid w:val="00B8296E"/>
    <w:rsid w:val="00BC5A2B"/>
    <w:rsid w:val="00BF2ADB"/>
    <w:rsid w:val="00BF4001"/>
    <w:rsid w:val="00C07E61"/>
    <w:rsid w:val="00C10BFB"/>
    <w:rsid w:val="00C44433"/>
    <w:rsid w:val="00C469B3"/>
    <w:rsid w:val="00C60B58"/>
    <w:rsid w:val="00C77400"/>
    <w:rsid w:val="00C854DE"/>
    <w:rsid w:val="00CD29A2"/>
    <w:rsid w:val="00CF5222"/>
    <w:rsid w:val="00CF5FCD"/>
    <w:rsid w:val="00D07DDF"/>
    <w:rsid w:val="00D21290"/>
    <w:rsid w:val="00D47459"/>
    <w:rsid w:val="00D76675"/>
    <w:rsid w:val="00D8580A"/>
    <w:rsid w:val="00DF278B"/>
    <w:rsid w:val="00DF55CA"/>
    <w:rsid w:val="00E139FC"/>
    <w:rsid w:val="00E612FE"/>
    <w:rsid w:val="00E759CA"/>
    <w:rsid w:val="00E80600"/>
    <w:rsid w:val="00E94B4A"/>
    <w:rsid w:val="00EF619B"/>
    <w:rsid w:val="00F113E1"/>
    <w:rsid w:val="00F400AB"/>
    <w:rsid w:val="00F53ECD"/>
    <w:rsid w:val="00F6089A"/>
    <w:rsid w:val="00F73C7C"/>
    <w:rsid w:val="00F74474"/>
    <w:rsid w:val="00F755A2"/>
    <w:rsid w:val="00F81653"/>
    <w:rsid w:val="00F91A8B"/>
    <w:rsid w:val="00FA570A"/>
    <w:rsid w:val="00FC7EA0"/>
    <w:rsid w:val="00FD00A4"/>
    <w:rsid w:val="00FD0305"/>
    <w:rsid w:val="00FD184F"/>
    <w:rsid w:val="00FD331A"/>
    <w:rsid w:val="00FD4900"/>
    <w:rsid w:val="00FE218F"/>
    <w:rsid w:val="00FF2CBD"/>
    <w:rsid w:val="1202562D"/>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6"/>
    <w:semiHidden/>
    <w:unhideWhenUsed/>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17"/>
    <w:semiHidden/>
    <w:unhideWhenUsed/>
    <w:qFormat/>
    <w:uiPriority w:val="99"/>
    <w:rPr>
      <w:b/>
      <w:bCs/>
    </w:rPr>
  </w:style>
  <w:style w:type="character" w:styleId="10">
    <w:name w:val="Hyperlink"/>
    <w:basedOn w:val="9"/>
    <w:autoRedefine/>
    <w:qFormat/>
    <w:uiPriority w:val="0"/>
    <w:rPr>
      <w:color w:val="0000FF"/>
      <w:u w:val="single"/>
    </w:rPr>
  </w:style>
  <w:style w:type="character" w:styleId="11">
    <w:name w:val="annotation reference"/>
    <w:basedOn w:val="9"/>
    <w:semiHidden/>
    <w:unhideWhenUsed/>
    <w:uiPriority w:val="99"/>
    <w:rPr>
      <w:sz w:val="21"/>
      <w:szCs w:val="21"/>
    </w:rPr>
  </w:style>
  <w:style w:type="character" w:customStyle="1" w:styleId="12">
    <w:name w:val="Header Char"/>
    <w:basedOn w:val="9"/>
    <w:link w:val="6"/>
    <w:qFormat/>
    <w:uiPriority w:val="99"/>
    <w:rPr>
      <w:sz w:val="18"/>
      <w:szCs w:val="18"/>
    </w:rPr>
  </w:style>
  <w:style w:type="character" w:customStyle="1" w:styleId="13">
    <w:name w:val="Footer Char"/>
    <w:basedOn w:val="9"/>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Heading 1 Char"/>
    <w:basedOn w:val="9"/>
    <w:link w:val="2"/>
    <w:uiPriority w:val="9"/>
    <w:rPr>
      <w:b/>
      <w:bCs/>
      <w:kern w:val="44"/>
      <w:sz w:val="44"/>
      <w:szCs w:val="44"/>
    </w:rPr>
  </w:style>
  <w:style w:type="character" w:customStyle="1" w:styleId="16">
    <w:name w:val="Comment Text Char"/>
    <w:basedOn w:val="9"/>
    <w:link w:val="4"/>
    <w:semiHidden/>
    <w:uiPriority w:val="99"/>
  </w:style>
  <w:style w:type="character" w:customStyle="1" w:styleId="17">
    <w:name w:val="Comment Subject Char"/>
    <w:basedOn w:val="16"/>
    <w:link w:val="7"/>
    <w:semiHidden/>
    <w:uiPriority w:val="99"/>
    <w:rPr>
      <w:b/>
      <w:bCs/>
    </w:rPr>
  </w:style>
  <w:style w:type="character" w:customStyle="1" w:styleId="18">
    <w:name w:val="Unresolved Mention"/>
    <w:basedOn w:val="9"/>
    <w:semiHidden/>
    <w:unhideWhenUsed/>
    <w:uiPriority w:val="99"/>
    <w:rPr>
      <w:color w:val="605E5C"/>
      <w:shd w:val="clear" w:color="auto" w:fill="E1DFDD"/>
    </w:rPr>
  </w:style>
  <w:style w:type="character" w:customStyle="1" w:styleId="19">
    <w:name w:val="Heading 3 Char"/>
    <w:basedOn w:val="9"/>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739</Words>
  <Characters>4913</Characters>
  <Lines>40</Lines>
  <Paragraphs>11</Paragraphs>
  <TotalTime>545</TotalTime>
  <ScaleCrop>false</ScaleCrop>
  <LinksUpToDate>false</LinksUpToDate>
  <CharactersWithSpaces>5634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2025-06-03T07:07:23Z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