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kinsoku/>
        <w:wordWrap/>
        <w:overflowPunct/>
        <w:topLinePunct w:val="0"/>
        <w:autoSpaceDE/>
        <w:autoSpaceDN/>
        <w:bidi w:val="0"/>
        <w:spacing w:before="157" w:beforeLines="50" w:beforeAutospacing="0" w:afterAutospacing="0" w:line="360" w:lineRule="auto"/>
        <w:ind w:left="0" w:firstLine="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Session Proposal </w:t>
      </w:r>
    </w:p>
    <w:p w14:paraId="1B736816">
      <w:pPr>
        <w:pStyle w:val="2"/>
        <w:pageBreakBefore w:val="0"/>
        <w:numPr>
          <w:ilvl w:val="0"/>
          <w:numId w:val="1"/>
        </w:numPr>
        <w:kinsoku/>
        <w:wordWrap/>
        <w:overflowPunct/>
        <w:topLinePunct w:val="0"/>
        <w:autoSpaceDE/>
        <w:autoSpaceDN/>
        <w:bidi w:val="0"/>
        <w:spacing w:before="157" w:beforeLines="50" w:beforeAutospacing="0" w:after="0" w:afterAutospacing="0" w:line="360" w:lineRule="auto"/>
        <w:ind w:left="0"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Session Title </w:t>
      </w:r>
    </w:p>
    <w:p w14:paraId="7273343A">
      <w:pPr>
        <w:pageBreakBefore w:val="0"/>
        <w:kinsoku/>
        <w:wordWrap/>
        <w:overflowPunct/>
        <w:topLinePunct w:val="0"/>
        <w:autoSpaceDE/>
        <w:autoSpaceDN/>
        <w:bidi w:val="0"/>
        <w:spacing w:before="157" w:beforeLines="50" w:beforeAutospacing="0" w:afterAutospacing="0" w:line="360" w:lineRule="auto"/>
        <w:ind w:left="0" w:firstLine="0"/>
        <w:rPr>
          <w:rFonts w:hint="default" w:ascii="Times New Roman" w:hAnsi="Times New Roman" w:cs="Times New Roman"/>
          <w:color w:val="auto"/>
          <w:sz w:val="24"/>
          <w:szCs w:val="24"/>
        </w:rPr>
      </w:pPr>
      <w:bookmarkStart w:id="0" w:name="_GoBack"/>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ovel</w:t>
      </w:r>
      <w:r>
        <w:rPr>
          <w:rFonts w:hint="default" w:ascii="Times New Roman" w:hAnsi="Times New Roman" w:cs="Times New Roman"/>
          <w:color w:val="auto"/>
          <w:sz w:val="24"/>
          <w:szCs w:val="24"/>
        </w:rPr>
        <w:t xml:space="preserve"> fertilizer research and industrial development</w:t>
      </w:r>
    </w:p>
    <w:bookmarkEnd w:id="0"/>
    <w:p w14:paraId="5C24EAEB">
      <w:pPr>
        <w:pStyle w:val="2"/>
        <w:pageBreakBefore w:val="0"/>
        <w:numPr>
          <w:ilvl w:val="0"/>
          <w:numId w:val="1"/>
        </w:numPr>
        <w:kinsoku/>
        <w:wordWrap/>
        <w:overflowPunct/>
        <w:topLinePunct w:val="0"/>
        <w:autoSpaceDE/>
        <w:autoSpaceDN/>
        <w:bidi w:val="0"/>
        <w:spacing w:before="157" w:beforeLines="50" w:beforeAutospacing="0" w:after="0" w:afterAutospacing="0" w:line="360" w:lineRule="auto"/>
        <w:ind w:left="0"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Session Organizers</w:t>
      </w:r>
    </w:p>
    <w:p w14:paraId="7B710ED2">
      <w:pPr>
        <w:pStyle w:val="19"/>
        <w:pageBreakBefore w:val="0"/>
        <w:numPr>
          <w:ilvl w:val="0"/>
          <w:numId w:val="2"/>
        </w:numPr>
        <w:kinsoku/>
        <w:wordWrap/>
        <w:overflowPunct/>
        <w:topLinePunct w:val="0"/>
        <w:autoSpaceDE/>
        <w:autoSpaceDN/>
        <w:bidi w:val="0"/>
        <w:spacing w:before="157" w:beforeLines="50" w:beforeAutospacing="0" w:afterAutospacing="0" w:line="360" w:lineRule="auto"/>
        <w:ind w:left="0"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Primary contact person: Yuechao Yang, Shandong Agricultural University,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"mailto:yangyuechao2010@163.com" </w:instrText>
      </w:r>
      <w:r>
        <w:rPr>
          <w:rFonts w:hint="default" w:ascii="Times New Roman" w:hAnsi="Times New Roman" w:cs="Times New Roman"/>
          <w:color w:val="auto"/>
        </w:rPr>
        <w:fldChar w:fldCharType="separate"/>
      </w:r>
      <w:r>
        <w:rPr>
          <w:rStyle w:val="15"/>
          <w:rFonts w:hint="default" w:ascii="Times New Roman" w:hAnsi="Times New Roman" w:cs="Times New Roman"/>
          <w:color w:val="auto"/>
          <w:sz w:val="24"/>
          <w:szCs w:val="24"/>
        </w:rPr>
        <w:t>yangyuechao2010@163.com</w:t>
      </w:r>
      <w:r>
        <w:rPr>
          <w:rStyle w:val="15"/>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394124D5">
      <w:pPr>
        <w:pStyle w:val="19"/>
        <w:pageBreakBefore w:val="0"/>
        <w:numPr>
          <w:ilvl w:val="0"/>
          <w:numId w:val="2"/>
        </w:numPr>
        <w:kinsoku/>
        <w:wordWrap/>
        <w:overflowPunct/>
        <w:topLinePunct w:val="0"/>
        <w:autoSpaceDE/>
        <w:autoSpaceDN/>
        <w:bidi w:val="0"/>
        <w:spacing w:before="157" w:beforeLines="50" w:beforeAutospacing="0" w:afterAutospacing="0" w:line="360" w:lineRule="auto"/>
        <w:ind w:left="0"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Changwen Du, Institute of Soil Science, Chinese Academy of Sciences,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"mailto:chwdu@issas.ac.cn" </w:instrText>
      </w:r>
      <w:r>
        <w:rPr>
          <w:rFonts w:hint="default" w:ascii="Times New Roman" w:hAnsi="Times New Roman" w:cs="Times New Roman"/>
          <w:color w:val="auto"/>
        </w:rPr>
        <w:fldChar w:fldCharType="separate"/>
      </w:r>
      <w:r>
        <w:rPr>
          <w:rStyle w:val="15"/>
          <w:rFonts w:hint="default" w:ascii="Times New Roman" w:hAnsi="Times New Roman" w:cs="Times New Roman"/>
          <w:color w:val="auto"/>
          <w:sz w:val="24"/>
          <w:szCs w:val="24"/>
        </w:rPr>
        <w:t>chwdu@issas.ac.cn</w:t>
      </w:r>
      <w:r>
        <w:rPr>
          <w:rStyle w:val="15"/>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23CB6B7A">
      <w:pPr>
        <w:pStyle w:val="19"/>
        <w:pageBreakBefore w:val="0"/>
        <w:numPr>
          <w:ilvl w:val="0"/>
          <w:numId w:val="2"/>
        </w:numPr>
        <w:kinsoku/>
        <w:wordWrap/>
        <w:overflowPunct/>
        <w:topLinePunct w:val="0"/>
        <w:autoSpaceDE/>
        <w:autoSpaceDN/>
        <w:bidi w:val="0"/>
        <w:spacing w:before="157" w:beforeLines="50" w:beforeAutospacing="0" w:afterAutospacing="0" w:line="360" w:lineRule="auto"/>
        <w:ind w:left="0"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Lili Zhang, Institute of Applied Ecology, Chinese Academy of Sciences,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"mailto:llzhang@iae.ac.cn" </w:instrText>
      </w:r>
      <w:r>
        <w:rPr>
          <w:rFonts w:hint="default" w:ascii="Times New Roman" w:hAnsi="Times New Roman" w:cs="Times New Roman"/>
          <w:color w:val="auto"/>
        </w:rPr>
        <w:fldChar w:fldCharType="separate"/>
      </w:r>
      <w:r>
        <w:rPr>
          <w:rStyle w:val="15"/>
          <w:rFonts w:hint="default" w:ascii="Times New Roman" w:hAnsi="Times New Roman" w:cs="Times New Roman"/>
          <w:color w:val="auto"/>
          <w:sz w:val="24"/>
          <w:szCs w:val="24"/>
        </w:rPr>
        <w:t>llzhang@iae.ac.cn</w:t>
      </w:r>
      <w:r>
        <w:rPr>
          <w:rStyle w:val="15"/>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p>
    <w:p w14:paraId="7288DA42">
      <w:pPr>
        <w:pStyle w:val="2"/>
        <w:pageBreakBefore w:val="0"/>
        <w:numPr>
          <w:ilvl w:val="0"/>
          <w:numId w:val="1"/>
        </w:numPr>
        <w:kinsoku/>
        <w:wordWrap/>
        <w:overflowPunct/>
        <w:topLinePunct w:val="0"/>
        <w:autoSpaceDE/>
        <w:autoSpaceDN/>
        <w:bidi w:val="0"/>
        <w:spacing w:before="157" w:beforeLines="50" w:beforeAutospacing="0" w:after="0" w:afterAutospacing="0" w:line="36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Session Description </w:t>
      </w:r>
    </w:p>
    <w:p w14:paraId="5DB8760C">
      <w:pPr>
        <w:pageBreakBefore w:val="0"/>
        <w:kinsoku/>
        <w:wordWrap/>
        <w:overflowPunct/>
        <w:topLinePunct w:val="0"/>
        <w:autoSpaceDE/>
        <w:autoSpaceDN/>
        <w:bidi w:val="0"/>
        <w:spacing w:before="157" w:beforeLines="50" w:beforeAutospacing="0" w:afterAutospacing="0" w:line="360" w:lineRule="auto"/>
        <w:ind w:left="0"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The symposium will provide a scope for </w:t>
      </w:r>
      <w:r>
        <w:rPr>
          <w:rFonts w:hint="default" w:ascii="Times New Roman" w:hAnsi="Times New Roman" w:cs="Times New Roman"/>
          <w:color w:val="auto"/>
          <w:sz w:val="24"/>
          <w:szCs w:val="24"/>
        </w:rPr>
        <w:t>novel</w:t>
      </w:r>
      <w:r>
        <w:rPr>
          <w:rFonts w:hint="default" w:ascii="Times New Roman" w:hAnsi="Times New Roman" w:cs="Times New Roman"/>
          <w:color w:val="auto"/>
          <w:sz w:val="24"/>
          <w:szCs w:val="24"/>
        </w:rPr>
        <w:t xml:space="preserve"> fertilizer research and industrial development, including </w:t>
      </w: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rPr>
        <w:t>ontrolled-release fertilizer, organic fertilizer, stable fertilizer, microbial fertilizer and micronutrient fertilizer. The excessive and inefficient use of chemical fertilizers has led to soil acidification, water eutrophication and greenhouse gas emissions. N</w:t>
      </w:r>
      <w:r>
        <w:rPr>
          <w:rFonts w:hint="default" w:ascii="Times New Roman" w:hAnsi="Times New Roman" w:cs="Times New Roman"/>
          <w:color w:val="auto"/>
          <w:sz w:val="24"/>
          <w:szCs w:val="24"/>
        </w:rPr>
        <w:t>ovel</w:t>
      </w:r>
      <w:r>
        <w:rPr>
          <w:rFonts w:hint="default" w:ascii="Times New Roman" w:hAnsi="Times New Roman" w:cs="Times New Roman"/>
          <w:color w:val="auto"/>
          <w:sz w:val="24"/>
          <w:szCs w:val="24"/>
        </w:rPr>
        <w:t xml:space="preserve"> fertilizers not only provide a more balanced nutrient supply and promote healthy crop growth, but also improve the physical, chemical and biological properties of the soil. The novel fertilizer reduces the loss and volatilization of nutrients through precision fertilization technology and slow-release mechanism, thereby reducing the negative impact on the environment. The popularization and use of new fertilizers is an important means to realize the green development of agriculture. The symposium will provide a networking opportunity for domestic/early-career soil scientists, companies, as well as established international soil scientists.</w:t>
      </w:r>
    </w:p>
    <w:p w14:paraId="76D8DB8E">
      <w:pPr>
        <w:pStyle w:val="2"/>
        <w:pageBreakBefore w:val="0"/>
        <w:numPr>
          <w:ilvl w:val="0"/>
          <w:numId w:val="1"/>
        </w:numPr>
        <w:kinsoku/>
        <w:wordWrap/>
        <w:overflowPunct/>
        <w:topLinePunct w:val="0"/>
        <w:autoSpaceDE/>
        <w:autoSpaceDN/>
        <w:bidi w:val="0"/>
        <w:spacing w:before="157" w:beforeLines="50" w:beforeAutospacing="0" w:after="0" w:afterAutospacing="0" w:line="360" w:lineRule="auto"/>
        <w:ind w:left="0"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Relevance </w:t>
      </w:r>
    </w:p>
    <w:p w14:paraId="5C133571">
      <w:pPr>
        <w:pageBreakBefore w:val="0"/>
        <w:kinsoku/>
        <w:wordWrap/>
        <w:overflowPunct/>
        <w:topLinePunct w:val="0"/>
        <w:autoSpaceDE/>
        <w:autoSpaceDN/>
        <w:bidi w:val="0"/>
        <w:spacing w:before="157" w:beforeLines="50" w:beforeAutospacing="0" w:afterAutospacing="0" w:line="360" w:lineRule="auto"/>
        <w:ind w:left="0"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This session is highly relevant to the congress’s theme of </w:t>
      </w:r>
      <w:r>
        <w:rPr>
          <w:rFonts w:hint="default" w:ascii="Times New Roman" w:hAnsi="Times New Roman" w:cs="Times New Roman"/>
          <w:color w:val="auto"/>
          <w:sz w:val="24"/>
          <w:szCs w:val="24"/>
        </w:rPr>
        <w:t>s</w:t>
      </w:r>
      <w:r>
        <w:rPr>
          <w:rFonts w:hint="default" w:ascii="Times New Roman" w:hAnsi="Times New Roman" w:cs="Times New Roman"/>
          <w:color w:val="auto"/>
          <w:sz w:val="24"/>
          <w:szCs w:val="24"/>
        </w:rPr>
        <w:t xml:space="preserve">oil fertility and plant nutrition as different kinds fertilizers can directly supplement the nutrients lacking in the soil, such as nitrogen, phosphorus, potassium and micronutrients, thereby improving the nutrient supply capacity. Organic fertilizers can increase the organic matter content of the soil, improve the physical structure of the soil, improve the water and fertilizer retention capacity of the soil, </w:t>
      </w:r>
      <w:r>
        <w:rPr>
          <w:rFonts w:hint="default" w:ascii="Times New Roman" w:hAnsi="Times New Roman" w:cs="Times New Roman"/>
          <w:color w:val="auto"/>
          <w:sz w:val="24"/>
          <w:szCs w:val="24"/>
        </w:rPr>
        <w:t>and</w:t>
      </w:r>
      <w:r>
        <w:rPr>
          <w:rFonts w:hint="default" w:ascii="Times New Roman" w:hAnsi="Times New Roman" w:cs="Times New Roman"/>
          <w:color w:val="auto"/>
          <w:sz w:val="24"/>
          <w:szCs w:val="24"/>
        </w:rPr>
        <w:t xml:space="preserve"> promote the reproduction and metabolic activities of microorganisms, and thus enhance the ecological function of soil.</w:t>
      </w:r>
    </w:p>
    <w:p w14:paraId="0F8D69BC">
      <w:pPr>
        <w:pStyle w:val="2"/>
        <w:pageBreakBefore w:val="0"/>
        <w:numPr>
          <w:ilvl w:val="0"/>
          <w:numId w:val="1"/>
        </w:numPr>
        <w:kinsoku/>
        <w:wordWrap/>
        <w:overflowPunct/>
        <w:topLinePunct w:val="0"/>
        <w:autoSpaceDE/>
        <w:autoSpaceDN/>
        <w:bidi w:val="0"/>
        <w:spacing w:before="157" w:beforeLines="50" w:beforeAutospacing="0" w:after="0" w:afterAutospacing="0" w:line="360" w:lineRule="auto"/>
        <w:ind w:left="0"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Format </w:t>
      </w:r>
    </w:p>
    <w:p w14:paraId="3F1E19FA">
      <w:pPr>
        <w:pageBreakBefore w:val="0"/>
        <w:kinsoku/>
        <w:wordWrap/>
        <w:overflowPunct/>
        <w:topLinePunct w:val="0"/>
        <w:autoSpaceDE/>
        <w:autoSpaceDN/>
        <w:bidi w:val="0"/>
        <w:spacing w:before="157" w:beforeLines="50" w:beforeAutospacing="0" w:afterAutospacing="0" w:line="360" w:lineRule="auto"/>
        <w:ind w:left="0" w:firstLine="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Oral presentations and panel discussions.</w:t>
      </w:r>
    </w:p>
    <w:p w14:paraId="4CF07F79">
      <w:pPr>
        <w:pStyle w:val="2"/>
        <w:pageBreakBefore w:val="0"/>
        <w:numPr>
          <w:ilvl w:val="0"/>
          <w:numId w:val="1"/>
        </w:numPr>
        <w:kinsoku/>
        <w:wordWrap/>
        <w:overflowPunct/>
        <w:topLinePunct w:val="0"/>
        <w:autoSpaceDE/>
        <w:autoSpaceDN/>
        <w:bidi w:val="0"/>
        <w:spacing w:before="157" w:beforeLines="50" w:beforeAutospacing="0" w:after="0" w:afterAutospacing="0" w:line="360" w:lineRule="auto"/>
        <w:ind w:left="0"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Proposed Speakers</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697"/>
        <w:gridCol w:w="1888"/>
        <w:gridCol w:w="4211"/>
      </w:tblGrid>
      <w:tr w14:paraId="5AB6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00" w:type="dxa"/>
            <w:vAlign w:val="center"/>
          </w:tcPr>
          <w:p w14:paraId="18E205EF">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p>
        </w:tc>
        <w:tc>
          <w:tcPr>
            <w:tcW w:w="1697" w:type="dxa"/>
            <w:vAlign w:val="center"/>
          </w:tcPr>
          <w:p w14:paraId="4B91EB6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N</w:t>
            </w:r>
            <w:r>
              <w:rPr>
                <w:rFonts w:hint="default" w:ascii="Times New Roman" w:hAnsi="Times New Roman" w:cs="Times New Roman"/>
                <w:b/>
                <w:bCs/>
                <w:color w:val="auto"/>
                <w:sz w:val="24"/>
                <w:szCs w:val="24"/>
              </w:rPr>
              <w:t>ame</w:t>
            </w:r>
          </w:p>
        </w:tc>
        <w:tc>
          <w:tcPr>
            <w:tcW w:w="1888" w:type="dxa"/>
            <w:vAlign w:val="center"/>
          </w:tcPr>
          <w:p w14:paraId="320A4ED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Affiliation</w:t>
            </w:r>
          </w:p>
        </w:tc>
        <w:tc>
          <w:tcPr>
            <w:tcW w:w="4211" w:type="dxa"/>
            <w:vAlign w:val="center"/>
          </w:tcPr>
          <w:p w14:paraId="508007C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Contribution</w:t>
            </w:r>
          </w:p>
        </w:tc>
      </w:tr>
      <w:tr w14:paraId="2FEB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14:paraId="65A2C1A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ovel</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f</w:t>
            </w:r>
            <w:r>
              <w:rPr>
                <w:rFonts w:hint="default" w:ascii="Times New Roman" w:hAnsi="Times New Roman" w:cs="Times New Roman"/>
                <w:color w:val="auto"/>
                <w:sz w:val="24"/>
                <w:szCs w:val="24"/>
              </w:rPr>
              <w:t>ertilizer research</w:t>
            </w:r>
          </w:p>
        </w:tc>
      </w:tr>
      <w:tr w14:paraId="482C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31D91CA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697" w:type="dxa"/>
            <w:vAlign w:val="center"/>
          </w:tcPr>
          <w:p w14:paraId="2D1023E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Alain Marty</w:t>
            </w:r>
          </w:p>
        </w:tc>
        <w:tc>
          <w:tcPr>
            <w:tcW w:w="1888" w:type="dxa"/>
            <w:vAlign w:val="center"/>
          </w:tcPr>
          <w:p w14:paraId="712D93D3">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Toulouse Biotechnology Institute</w:t>
            </w:r>
          </w:p>
        </w:tc>
        <w:tc>
          <w:tcPr>
            <w:tcW w:w="4211" w:type="dxa"/>
            <w:vAlign w:val="center"/>
          </w:tcPr>
          <w:p w14:paraId="7C8CFF5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Principal Investigator at Toulouse</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 a leading expert in the field of biotechnology and bioengineering.</w:t>
            </w:r>
          </w:p>
        </w:tc>
      </w:tr>
      <w:tr w14:paraId="3A9C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6957D86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697" w:type="dxa"/>
            <w:vAlign w:val="center"/>
          </w:tcPr>
          <w:p w14:paraId="59C9352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Yuechao Yang</w:t>
            </w:r>
          </w:p>
        </w:tc>
        <w:tc>
          <w:tcPr>
            <w:tcW w:w="1888" w:type="dxa"/>
            <w:vAlign w:val="center"/>
          </w:tcPr>
          <w:p w14:paraId="6A160F1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Shandong Agricultural University</w:t>
            </w:r>
          </w:p>
        </w:tc>
        <w:tc>
          <w:tcPr>
            <w:tcW w:w="4211" w:type="dxa"/>
            <w:vAlign w:val="center"/>
          </w:tcPr>
          <w:p w14:paraId="6B4E6C4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leading expert in the field of bio-based </w:t>
            </w: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rPr>
              <w:t>ontrolled-release fertilizer and humic acid fertilizer.</w:t>
            </w:r>
          </w:p>
        </w:tc>
      </w:tr>
      <w:tr w14:paraId="3D7A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2BB5149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697" w:type="dxa"/>
            <w:vAlign w:val="center"/>
          </w:tcPr>
          <w:p w14:paraId="67359BD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Herbert J. Kronzucker</w:t>
            </w:r>
          </w:p>
        </w:tc>
        <w:tc>
          <w:tcPr>
            <w:tcW w:w="1888" w:type="dxa"/>
            <w:vAlign w:val="center"/>
          </w:tcPr>
          <w:p w14:paraId="5CE2BBF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University of Western Australia</w:t>
            </w:r>
          </w:p>
        </w:tc>
        <w:tc>
          <w:tcPr>
            <w:tcW w:w="4211" w:type="dxa"/>
            <w:vAlign w:val="center"/>
          </w:tcPr>
          <w:p w14:paraId="0151E2E7">
            <w:pPr>
              <w:pageBreakBefore w:val="0"/>
              <w:widowControl/>
              <w:kinsoku/>
              <w:wordWrap/>
              <w:overflowPunct/>
              <w:topLinePunct w:val="0"/>
              <w:autoSpaceDE/>
              <w:autoSpaceDN/>
              <w:bidi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nutrient acquisition in rice.</w:t>
            </w:r>
          </w:p>
        </w:tc>
      </w:tr>
      <w:tr w14:paraId="2D7E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500" w:type="dxa"/>
            <w:vAlign w:val="center"/>
          </w:tcPr>
          <w:p w14:paraId="3B897E02">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1697" w:type="dxa"/>
            <w:vAlign w:val="center"/>
          </w:tcPr>
          <w:p w14:paraId="24B3D9D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Ping He</w:t>
            </w:r>
          </w:p>
        </w:tc>
        <w:tc>
          <w:tcPr>
            <w:tcW w:w="1888" w:type="dxa"/>
            <w:vAlign w:val="center"/>
          </w:tcPr>
          <w:p w14:paraId="22B8A8A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Institute of Agricultural Resources and Regional Planning, CAAS</w:t>
            </w:r>
          </w:p>
        </w:tc>
        <w:tc>
          <w:tcPr>
            <w:tcW w:w="4211" w:type="dxa"/>
            <w:vAlign w:val="center"/>
          </w:tcPr>
          <w:p w14:paraId="212BEF0F">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leading expert in the field of </w:t>
            </w:r>
            <w:r>
              <w:rPr>
                <w:rFonts w:hint="default" w:ascii="Times New Roman" w:hAnsi="Times New Roman" w:cs="Times New Roman"/>
                <w:color w:val="auto"/>
                <w:sz w:val="24"/>
                <w:szCs w:val="24"/>
              </w:rPr>
              <w:t>nutrient</w:t>
            </w:r>
            <w:r>
              <w:rPr>
                <w:rFonts w:hint="default" w:ascii="Times New Roman" w:hAnsi="Times New Roman" w:cs="Times New Roman"/>
                <w:color w:val="auto"/>
                <w:sz w:val="24"/>
                <w:szCs w:val="24"/>
              </w:rPr>
              <w:t xml:space="preserve"> expert system.</w:t>
            </w:r>
          </w:p>
        </w:tc>
      </w:tr>
      <w:tr w14:paraId="3BF2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00" w:type="dxa"/>
            <w:vAlign w:val="center"/>
          </w:tcPr>
          <w:p w14:paraId="557D7A2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1697" w:type="dxa"/>
            <w:vAlign w:val="center"/>
          </w:tcPr>
          <w:p w14:paraId="49C440A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rPr>
              <w:t>hangwen Du</w:t>
            </w:r>
          </w:p>
        </w:tc>
        <w:tc>
          <w:tcPr>
            <w:tcW w:w="1888" w:type="dxa"/>
            <w:vAlign w:val="center"/>
          </w:tcPr>
          <w:p w14:paraId="08F009C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Institute of Soil Science, Chinese Academy of Sciences</w:t>
            </w:r>
          </w:p>
        </w:tc>
        <w:tc>
          <w:tcPr>
            <w:tcW w:w="4211" w:type="dxa"/>
            <w:vAlign w:val="center"/>
          </w:tcPr>
          <w:p w14:paraId="7BB3CDF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 xml:space="preserve"> expert in the field of controlled release fertilizer</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 xml:space="preserve"> Soil fertility and evaluation.</w:t>
            </w:r>
          </w:p>
        </w:tc>
      </w:tr>
      <w:tr w14:paraId="2C1B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0" w:type="dxa"/>
            <w:vAlign w:val="center"/>
          </w:tcPr>
          <w:p w14:paraId="5C98037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c>
          <w:tcPr>
            <w:tcW w:w="1697" w:type="dxa"/>
            <w:vAlign w:val="center"/>
          </w:tcPr>
          <w:p w14:paraId="4ECAE93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John A. Duxbury</w:t>
            </w:r>
          </w:p>
        </w:tc>
        <w:tc>
          <w:tcPr>
            <w:tcW w:w="1888" w:type="dxa"/>
            <w:vAlign w:val="center"/>
          </w:tcPr>
          <w:p w14:paraId="5962BBA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Cornell University</w:t>
            </w:r>
          </w:p>
        </w:tc>
        <w:tc>
          <w:tcPr>
            <w:tcW w:w="4211" w:type="dxa"/>
            <w:vAlign w:val="center"/>
          </w:tcPr>
          <w:p w14:paraId="3BC5BE2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soil and crop sciences.</w:t>
            </w:r>
          </w:p>
        </w:tc>
      </w:tr>
      <w:tr w14:paraId="6CF2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3CD32E2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c>
          <w:tcPr>
            <w:tcW w:w="1697" w:type="dxa"/>
            <w:vAlign w:val="center"/>
          </w:tcPr>
          <w:p w14:paraId="0C9F3DD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rPr>
              <w:t>ili</w:t>
            </w:r>
            <w:r>
              <w:rPr>
                <w:rFonts w:hint="default" w:ascii="Times New Roman" w:hAnsi="Times New Roman" w:cs="Times New Roman"/>
                <w:color w:val="auto"/>
                <w:sz w:val="24"/>
                <w:szCs w:val="24"/>
              </w:rPr>
              <w:t xml:space="preserve"> Zhang</w:t>
            </w:r>
          </w:p>
        </w:tc>
        <w:tc>
          <w:tcPr>
            <w:tcW w:w="1888" w:type="dxa"/>
            <w:vAlign w:val="center"/>
          </w:tcPr>
          <w:p w14:paraId="5414B54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Institute of Applied Ecology, Chinese Academy of Sciences</w:t>
            </w:r>
          </w:p>
        </w:tc>
        <w:tc>
          <w:tcPr>
            <w:tcW w:w="4211" w:type="dxa"/>
            <w:vAlign w:val="center"/>
          </w:tcPr>
          <w:p w14:paraId="397C346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 leading expert in the field of </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itrogen stabilization fertilizer.</w:t>
            </w:r>
          </w:p>
        </w:tc>
      </w:tr>
      <w:tr w14:paraId="77C7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00" w:type="dxa"/>
            <w:vAlign w:val="center"/>
          </w:tcPr>
          <w:p w14:paraId="0B1410E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w:t>
            </w:r>
          </w:p>
        </w:tc>
        <w:tc>
          <w:tcPr>
            <w:tcW w:w="1697" w:type="dxa"/>
            <w:vAlign w:val="center"/>
          </w:tcPr>
          <w:p w14:paraId="1BD8B9D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Patrick du Jardin</w:t>
            </w:r>
          </w:p>
        </w:tc>
        <w:tc>
          <w:tcPr>
            <w:tcW w:w="1888" w:type="dxa"/>
            <w:vAlign w:val="center"/>
          </w:tcPr>
          <w:p w14:paraId="645E641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University of Liège</w:t>
            </w:r>
          </w:p>
        </w:tc>
        <w:tc>
          <w:tcPr>
            <w:tcW w:w="4211" w:type="dxa"/>
            <w:vAlign w:val="center"/>
          </w:tcPr>
          <w:p w14:paraId="1432B14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biostimulants.</w:t>
            </w:r>
          </w:p>
        </w:tc>
      </w:tr>
      <w:tr w14:paraId="6609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296" w:type="dxa"/>
            <w:gridSpan w:val="4"/>
            <w:vAlign w:val="center"/>
          </w:tcPr>
          <w:p w14:paraId="0852A82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Mechanism </w:t>
            </w:r>
            <w:r>
              <w:rPr>
                <w:rFonts w:hint="default" w:ascii="Times New Roman" w:hAnsi="Times New Roman" w:cs="Times New Roman"/>
                <w:color w:val="auto"/>
                <w:sz w:val="24"/>
                <w:szCs w:val="24"/>
              </w:rPr>
              <w:t>research</w:t>
            </w:r>
          </w:p>
        </w:tc>
      </w:tr>
      <w:tr w14:paraId="74AC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00" w:type="dxa"/>
            <w:vAlign w:val="center"/>
          </w:tcPr>
          <w:p w14:paraId="1BFB38E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1697" w:type="dxa"/>
            <w:vAlign w:val="center"/>
          </w:tcPr>
          <w:p w14:paraId="4EC66D3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James M. Tiedje</w:t>
            </w:r>
          </w:p>
        </w:tc>
        <w:tc>
          <w:tcPr>
            <w:tcW w:w="1888" w:type="dxa"/>
            <w:vAlign w:val="center"/>
          </w:tcPr>
          <w:p w14:paraId="0FC3B25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Michigan State University</w:t>
            </w:r>
          </w:p>
        </w:tc>
        <w:tc>
          <w:tcPr>
            <w:tcW w:w="4211" w:type="dxa"/>
            <w:vAlign w:val="center"/>
          </w:tcPr>
          <w:p w14:paraId="619D901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microbial community structure and function.</w:t>
            </w:r>
          </w:p>
        </w:tc>
      </w:tr>
      <w:tr w14:paraId="5A1E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00" w:type="dxa"/>
            <w:vAlign w:val="center"/>
          </w:tcPr>
          <w:p w14:paraId="2C93422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0</w:t>
            </w:r>
          </w:p>
        </w:tc>
        <w:tc>
          <w:tcPr>
            <w:tcW w:w="1697" w:type="dxa"/>
            <w:vAlign w:val="center"/>
          </w:tcPr>
          <w:p w14:paraId="285C98C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Ruifu Zhang</w:t>
            </w:r>
          </w:p>
        </w:tc>
        <w:tc>
          <w:tcPr>
            <w:tcW w:w="1888" w:type="dxa"/>
            <w:vAlign w:val="center"/>
          </w:tcPr>
          <w:p w14:paraId="035E956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Nanjing Agricultural University</w:t>
            </w:r>
          </w:p>
        </w:tc>
        <w:tc>
          <w:tcPr>
            <w:tcW w:w="4211" w:type="dxa"/>
            <w:vAlign w:val="center"/>
          </w:tcPr>
          <w:p w14:paraId="5E96CC09">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rhizosphere microorganisms and biofertilizers.</w:t>
            </w:r>
          </w:p>
        </w:tc>
      </w:tr>
      <w:tr w14:paraId="0FBA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57EA9242">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1</w:t>
            </w:r>
          </w:p>
        </w:tc>
        <w:tc>
          <w:tcPr>
            <w:tcW w:w="1697" w:type="dxa"/>
            <w:vAlign w:val="center"/>
          </w:tcPr>
          <w:p w14:paraId="5CF9C39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w:t>
            </w:r>
            <w:r>
              <w:rPr>
                <w:rFonts w:hint="default" w:ascii="Times New Roman" w:hAnsi="Times New Roman" w:cs="Times New Roman"/>
                <w:color w:val="auto"/>
                <w:sz w:val="24"/>
                <w:szCs w:val="24"/>
              </w:rPr>
              <w:t>u Zhao</w:t>
            </w:r>
          </w:p>
        </w:tc>
        <w:tc>
          <w:tcPr>
            <w:tcW w:w="1888" w:type="dxa"/>
            <w:vAlign w:val="center"/>
          </w:tcPr>
          <w:p w14:paraId="74D275D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Institute of Soil Science, Chinese Academy of Sciences</w:t>
            </w:r>
          </w:p>
        </w:tc>
        <w:tc>
          <w:tcPr>
            <w:tcW w:w="4211" w:type="dxa"/>
            <w:vAlign w:val="center"/>
          </w:tcPr>
          <w:p w14:paraId="48FF931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 xml:space="preserve"> expert in the field of Soil nitrogen cycle.</w:t>
            </w:r>
          </w:p>
        </w:tc>
      </w:tr>
      <w:tr w14:paraId="15E4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6276C51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2</w:t>
            </w:r>
          </w:p>
        </w:tc>
        <w:tc>
          <w:tcPr>
            <w:tcW w:w="1697" w:type="dxa"/>
            <w:vAlign w:val="center"/>
          </w:tcPr>
          <w:p w14:paraId="01740343">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Zed Rengel</w:t>
            </w:r>
          </w:p>
        </w:tc>
        <w:tc>
          <w:tcPr>
            <w:tcW w:w="1888" w:type="dxa"/>
            <w:vAlign w:val="center"/>
          </w:tcPr>
          <w:p w14:paraId="5AADD723">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University of Western Australia</w:t>
            </w:r>
          </w:p>
        </w:tc>
        <w:tc>
          <w:tcPr>
            <w:tcW w:w="4211" w:type="dxa"/>
            <w:vAlign w:val="center"/>
          </w:tcPr>
          <w:p w14:paraId="5A23439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mechanisms and relationships among nutrients in soil and plants.</w:t>
            </w:r>
          </w:p>
        </w:tc>
      </w:tr>
      <w:tr w14:paraId="1740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2C630EE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3</w:t>
            </w:r>
          </w:p>
        </w:tc>
        <w:tc>
          <w:tcPr>
            <w:tcW w:w="1697" w:type="dxa"/>
            <w:vAlign w:val="center"/>
          </w:tcPr>
          <w:p w14:paraId="6F407F19">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w:t>
            </w:r>
            <w:r>
              <w:rPr>
                <w:rFonts w:hint="default" w:ascii="Times New Roman" w:hAnsi="Times New Roman" w:cs="Times New Roman"/>
                <w:color w:val="auto"/>
                <w:sz w:val="24"/>
                <w:szCs w:val="24"/>
              </w:rPr>
              <w:t>in Zhang</w:t>
            </w:r>
          </w:p>
        </w:tc>
        <w:tc>
          <w:tcPr>
            <w:tcW w:w="1888" w:type="dxa"/>
            <w:vAlign w:val="center"/>
          </w:tcPr>
          <w:p w14:paraId="1858DC9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China Agricultural University</w:t>
            </w:r>
          </w:p>
        </w:tc>
        <w:tc>
          <w:tcPr>
            <w:tcW w:w="4211" w:type="dxa"/>
            <w:vAlign w:val="center"/>
          </w:tcPr>
          <w:p w14:paraId="24136619">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 xml:space="preserve"> expert in the field of plant-soil interaction and efficient utilization of phosphorus.</w:t>
            </w:r>
          </w:p>
        </w:tc>
      </w:tr>
      <w:tr w14:paraId="1B54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5F49FA0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4</w:t>
            </w:r>
          </w:p>
        </w:tc>
        <w:tc>
          <w:tcPr>
            <w:tcW w:w="1697" w:type="dxa"/>
            <w:vAlign w:val="center"/>
          </w:tcPr>
          <w:p w14:paraId="340AB30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w:t>
            </w:r>
            <w:r>
              <w:rPr>
                <w:rFonts w:hint="default" w:ascii="Times New Roman" w:hAnsi="Times New Roman" w:cs="Times New Roman"/>
                <w:color w:val="auto"/>
                <w:sz w:val="24"/>
                <w:szCs w:val="24"/>
              </w:rPr>
              <w:t>hengke Tian</w:t>
            </w:r>
          </w:p>
        </w:tc>
        <w:tc>
          <w:tcPr>
            <w:tcW w:w="1888" w:type="dxa"/>
            <w:vAlign w:val="center"/>
          </w:tcPr>
          <w:p w14:paraId="198288AE">
            <w:pPr>
              <w:pStyle w:val="8"/>
              <w:pageBreakBefore w:val="0"/>
              <w:kinsoku/>
              <w:wordWrap/>
              <w:overflowPunct/>
              <w:topLinePunct w:val="0"/>
              <w:autoSpaceDE/>
              <w:autoSpaceDN/>
              <w:bidi w:val="0"/>
              <w:spacing w:before="157" w:beforeLines="50" w:beforeAutospacing="0" w:after="0" w:afterAutospacing="0" w:line="360" w:lineRule="auto"/>
              <w:ind w:left="0" w:firstLine="0"/>
              <w:jc w:val="center"/>
              <w:rPr>
                <w:rFonts w:hint="default" w:ascii="Times New Roman" w:hAnsi="Times New Roman" w:cs="Times New Roman"/>
                <w:color w:val="auto"/>
                <w:sz w:val="21"/>
                <w:szCs w:val="21"/>
              </w:rPr>
            </w:pPr>
            <w:r>
              <w:rPr>
                <w:rFonts w:hint="default" w:ascii="Times New Roman" w:hAnsi="Times New Roman" w:cs="Times New Roman" w:eastAsiaTheme="minorEastAsia"/>
                <w:color w:val="auto"/>
                <w:kern w:val="2"/>
              </w:rPr>
              <w:t>Zhejiang University</w:t>
            </w:r>
          </w:p>
        </w:tc>
        <w:tc>
          <w:tcPr>
            <w:tcW w:w="4211" w:type="dxa"/>
            <w:vAlign w:val="center"/>
          </w:tcPr>
          <w:p w14:paraId="3FC2481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 xml:space="preserve"> expert in the field of plant nutrition diagnosis and fertilization.</w:t>
            </w:r>
          </w:p>
        </w:tc>
      </w:tr>
      <w:tr w14:paraId="2AB1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7CAE920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5</w:t>
            </w:r>
          </w:p>
        </w:tc>
        <w:tc>
          <w:tcPr>
            <w:tcW w:w="1697" w:type="dxa"/>
            <w:vAlign w:val="center"/>
          </w:tcPr>
          <w:p w14:paraId="50254919">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Youssef Rouphael</w:t>
            </w:r>
          </w:p>
        </w:tc>
        <w:tc>
          <w:tcPr>
            <w:tcW w:w="1888" w:type="dxa"/>
            <w:vAlign w:val="center"/>
          </w:tcPr>
          <w:p w14:paraId="4172183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Lebanese University</w:t>
            </w:r>
          </w:p>
        </w:tc>
        <w:tc>
          <w:tcPr>
            <w:tcW w:w="4211" w:type="dxa"/>
            <w:vAlign w:val="center"/>
          </w:tcPr>
          <w:p w14:paraId="5118423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w:t>
            </w:r>
            <w:r>
              <w:rPr>
                <w:rFonts w:hint="default" w:ascii="Times New Roman" w:hAnsi="Times New Roman" w:cs="Times New Roman"/>
                <w:color w:val="auto"/>
              </w:rPr>
              <w:t xml:space="preserve"> </w:t>
            </w:r>
            <w:r>
              <w:rPr>
                <w:rFonts w:hint="default" w:ascii="Times New Roman" w:hAnsi="Times New Roman" w:cs="Times New Roman"/>
                <w:color w:val="auto"/>
                <w:sz w:val="24"/>
                <w:szCs w:val="24"/>
              </w:rPr>
              <w:t>biostimulants.</w:t>
            </w:r>
          </w:p>
        </w:tc>
      </w:tr>
      <w:tr w14:paraId="0FA3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68E11F9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6</w:t>
            </w:r>
          </w:p>
        </w:tc>
        <w:tc>
          <w:tcPr>
            <w:tcW w:w="1697" w:type="dxa"/>
            <w:vAlign w:val="center"/>
          </w:tcPr>
          <w:p w14:paraId="1F867D3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w:t>
            </w:r>
            <w:r>
              <w:rPr>
                <w:rFonts w:hint="default" w:ascii="Times New Roman" w:hAnsi="Times New Roman" w:cs="Times New Roman"/>
                <w:color w:val="auto"/>
                <w:sz w:val="24"/>
                <w:szCs w:val="24"/>
              </w:rPr>
              <w:t>uanyuan Yao</w:t>
            </w:r>
          </w:p>
        </w:tc>
        <w:tc>
          <w:tcPr>
            <w:tcW w:w="1888" w:type="dxa"/>
            <w:vAlign w:val="center"/>
          </w:tcPr>
          <w:p w14:paraId="057E5CC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Shandong Agricultural University</w:t>
            </w:r>
          </w:p>
        </w:tc>
        <w:tc>
          <w:tcPr>
            <w:tcW w:w="4211" w:type="dxa"/>
            <w:vAlign w:val="center"/>
          </w:tcPr>
          <w:p w14:paraId="5BBA282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 xml:space="preserve"> expert in the field of stress resistance of crops to promote growth and </w:t>
            </w:r>
            <w:r>
              <w:rPr>
                <w:rFonts w:hint="default" w:ascii="Times New Roman" w:hAnsi="Times New Roman" w:cs="Times New Roman"/>
                <w:color w:val="auto"/>
                <w:sz w:val="24"/>
                <w:szCs w:val="24"/>
              </w:rPr>
              <w:t>f</w:t>
            </w:r>
            <w:r>
              <w:rPr>
                <w:rFonts w:hint="default" w:ascii="Times New Roman" w:hAnsi="Times New Roman" w:cs="Times New Roman"/>
                <w:color w:val="auto"/>
                <w:sz w:val="24"/>
                <w:szCs w:val="24"/>
              </w:rPr>
              <w:t xml:space="preserve">ulvic acid </w:t>
            </w:r>
            <w:r>
              <w:rPr>
                <w:rFonts w:hint="default" w:ascii="Times New Roman" w:hAnsi="Times New Roman" w:cs="Times New Roman"/>
                <w:color w:val="auto"/>
                <w:sz w:val="24"/>
                <w:szCs w:val="24"/>
              </w:rPr>
              <w:t>fertilizer</w:t>
            </w:r>
            <w:r>
              <w:rPr>
                <w:rFonts w:hint="default" w:ascii="Times New Roman" w:hAnsi="Times New Roman" w:cs="Times New Roman"/>
                <w:color w:val="auto"/>
                <w:sz w:val="24"/>
                <w:szCs w:val="24"/>
              </w:rPr>
              <w:t>.</w:t>
            </w:r>
          </w:p>
        </w:tc>
      </w:tr>
      <w:tr w14:paraId="7110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14:paraId="53514D52">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Crop application </w:t>
            </w:r>
            <w:r>
              <w:rPr>
                <w:rFonts w:hint="default" w:ascii="Times New Roman" w:hAnsi="Times New Roman" w:cs="Times New Roman"/>
                <w:color w:val="auto"/>
                <w:sz w:val="24"/>
                <w:szCs w:val="24"/>
              </w:rPr>
              <w:t>and</w:t>
            </w:r>
            <w:r>
              <w:rPr>
                <w:rFonts w:hint="default" w:ascii="Times New Roman" w:hAnsi="Times New Roman" w:cs="Times New Roman"/>
                <w:color w:val="auto"/>
                <w:sz w:val="24"/>
                <w:szCs w:val="24"/>
              </w:rPr>
              <w:t xml:space="preserve"> evaluation</w:t>
            </w:r>
          </w:p>
        </w:tc>
      </w:tr>
      <w:tr w14:paraId="1E97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53F3B7F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7</w:t>
            </w:r>
          </w:p>
        </w:tc>
        <w:tc>
          <w:tcPr>
            <w:tcW w:w="1697" w:type="dxa"/>
            <w:vAlign w:val="center"/>
          </w:tcPr>
          <w:p w14:paraId="47E61D7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w:t>
            </w:r>
            <w:r>
              <w:rPr>
                <w:rFonts w:hint="default" w:ascii="Times New Roman" w:hAnsi="Times New Roman" w:cs="Times New Roman"/>
                <w:color w:val="auto"/>
                <w:sz w:val="24"/>
                <w:szCs w:val="24"/>
              </w:rPr>
              <w:t>inping Chen</w:t>
            </w:r>
          </w:p>
        </w:tc>
        <w:tc>
          <w:tcPr>
            <w:tcW w:w="1888" w:type="dxa"/>
            <w:vAlign w:val="center"/>
          </w:tcPr>
          <w:p w14:paraId="6205D6D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China Agricultural University</w:t>
            </w:r>
          </w:p>
        </w:tc>
        <w:tc>
          <w:tcPr>
            <w:tcW w:w="4211" w:type="dxa"/>
            <w:vAlign w:val="center"/>
          </w:tcPr>
          <w:p w14:paraId="150FEA2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integrated management of nutrient resources of main crops.</w:t>
            </w:r>
          </w:p>
        </w:tc>
      </w:tr>
      <w:tr w14:paraId="1065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3A6BACF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8</w:t>
            </w:r>
          </w:p>
        </w:tc>
        <w:tc>
          <w:tcPr>
            <w:tcW w:w="1697" w:type="dxa"/>
            <w:vAlign w:val="center"/>
          </w:tcPr>
          <w:p w14:paraId="4FD6555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Cakmak Ismail</w:t>
            </w:r>
          </w:p>
        </w:tc>
        <w:tc>
          <w:tcPr>
            <w:tcW w:w="1888" w:type="dxa"/>
            <w:vAlign w:val="center"/>
          </w:tcPr>
          <w:p w14:paraId="6C94E8D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Sabanc</w:t>
            </w:r>
            <w:r>
              <w:rPr>
                <w:rFonts w:hint="default" w:ascii="Times New Roman" w:hAnsi="Times New Roman" w:cs="Times New Roman"/>
                <w:color w:val="auto"/>
                <w:sz w:val="24"/>
                <w:szCs w:val="24"/>
              </w:rPr>
              <w:t>ı</w:t>
            </w:r>
            <w:r>
              <w:rPr>
                <w:rFonts w:hint="default" w:ascii="Times New Roman" w:hAnsi="Times New Roman" w:cs="Times New Roman"/>
                <w:color w:val="auto"/>
                <w:sz w:val="24"/>
                <w:szCs w:val="24"/>
              </w:rPr>
              <w:t xml:space="preserve"> University</w:t>
            </w:r>
          </w:p>
        </w:tc>
        <w:tc>
          <w:tcPr>
            <w:tcW w:w="4211" w:type="dxa"/>
            <w:vAlign w:val="center"/>
          </w:tcPr>
          <w:p w14:paraId="27B61C3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micronutrient fertilization.</w:t>
            </w:r>
          </w:p>
        </w:tc>
      </w:tr>
      <w:tr w14:paraId="3F2E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2585C163">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t>9</w:t>
            </w:r>
          </w:p>
        </w:tc>
        <w:tc>
          <w:tcPr>
            <w:tcW w:w="1697" w:type="dxa"/>
            <w:vAlign w:val="center"/>
          </w:tcPr>
          <w:p w14:paraId="1758C1D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Z</w:t>
            </w:r>
            <w:r>
              <w:rPr>
                <w:rFonts w:hint="default" w:ascii="Times New Roman" w:hAnsi="Times New Roman" w:cs="Times New Roman"/>
                <w:color w:val="auto"/>
                <w:sz w:val="24"/>
                <w:szCs w:val="24"/>
              </w:rPr>
              <w:t>haohui Wang</w:t>
            </w:r>
          </w:p>
        </w:tc>
        <w:tc>
          <w:tcPr>
            <w:tcW w:w="1888" w:type="dxa"/>
            <w:vAlign w:val="center"/>
          </w:tcPr>
          <w:p w14:paraId="43121F6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Northwest A&amp;F University</w:t>
            </w:r>
          </w:p>
        </w:tc>
        <w:tc>
          <w:tcPr>
            <w:tcW w:w="4211" w:type="dxa"/>
            <w:vAlign w:val="center"/>
          </w:tcPr>
          <w:p w14:paraId="294B0C9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wheat nutrition regulation.</w:t>
            </w:r>
          </w:p>
        </w:tc>
      </w:tr>
      <w:tr w14:paraId="176B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4A5453A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0</w:t>
            </w:r>
          </w:p>
        </w:tc>
        <w:tc>
          <w:tcPr>
            <w:tcW w:w="1697" w:type="dxa"/>
            <w:vAlign w:val="center"/>
          </w:tcPr>
          <w:p w14:paraId="2019C79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Paul E. Fixen</w:t>
            </w:r>
          </w:p>
        </w:tc>
        <w:tc>
          <w:tcPr>
            <w:tcW w:w="1888" w:type="dxa"/>
            <w:vAlign w:val="center"/>
          </w:tcPr>
          <w:p w14:paraId="180AE63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International Plant Nutrition Institute</w:t>
            </w:r>
          </w:p>
        </w:tc>
        <w:tc>
          <w:tcPr>
            <w:tcW w:w="4211" w:type="dxa"/>
            <w:vAlign w:val="center"/>
          </w:tcPr>
          <w:p w14:paraId="752E973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managing water and fertilizer for sustainable agricultural intensification.</w:t>
            </w:r>
          </w:p>
        </w:tc>
      </w:tr>
      <w:tr w14:paraId="0668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4808530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1</w:t>
            </w:r>
          </w:p>
        </w:tc>
        <w:tc>
          <w:tcPr>
            <w:tcW w:w="1697" w:type="dxa"/>
            <w:vAlign w:val="center"/>
          </w:tcPr>
          <w:p w14:paraId="0265209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X</w:t>
            </w:r>
            <w:r>
              <w:rPr>
                <w:rFonts w:hint="default" w:ascii="Times New Roman" w:hAnsi="Times New Roman" w:cs="Times New Roman"/>
                <w:color w:val="auto"/>
                <w:sz w:val="24"/>
                <w:szCs w:val="24"/>
              </w:rPr>
              <w:t>iaokun Li</w:t>
            </w:r>
          </w:p>
        </w:tc>
        <w:tc>
          <w:tcPr>
            <w:tcW w:w="1888" w:type="dxa"/>
            <w:vAlign w:val="center"/>
          </w:tcPr>
          <w:p w14:paraId="7CA0D2F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H</w:t>
            </w:r>
            <w:r>
              <w:rPr>
                <w:rFonts w:hint="default" w:ascii="Times New Roman" w:hAnsi="Times New Roman" w:cs="Times New Roman"/>
                <w:color w:val="auto"/>
                <w:sz w:val="24"/>
                <w:szCs w:val="24"/>
              </w:rPr>
              <w:t>uazhong Agricultural University</w:t>
            </w:r>
          </w:p>
        </w:tc>
        <w:tc>
          <w:tcPr>
            <w:tcW w:w="4211" w:type="dxa"/>
            <w:vAlign w:val="center"/>
          </w:tcPr>
          <w:p w14:paraId="40C9525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special crop fertilizer and modern fertilization technology.</w:t>
            </w:r>
          </w:p>
        </w:tc>
      </w:tr>
      <w:tr w14:paraId="638B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28838A33">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2</w:t>
            </w:r>
          </w:p>
        </w:tc>
        <w:tc>
          <w:tcPr>
            <w:tcW w:w="1697" w:type="dxa"/>
            <w:vAlign w:val="center"/>
          </w:tcPr>
          <w:p w14:paraId="59597EA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w:t>
            </w:r>
            <w:r>
              <w:rPr>
                <w:rFonts w:hint="default" w:ascii="Times New Roman" w:hAnsi="Times New Roman" w:cs="Times New Roman"/>
                <w:color w:val="auto"/>
                <w:sz w:val="24"/>
                <w:szCs w:val="24"/>
              </w:rPr>
              <w:t>uanmao Jiang</w:t>
            </w:r>
          </w:p>
        </w:tc>
        <w:tc>
          <w:tcPr>
            <w:tcW w:w="1888" w:type="dxa"/>
            <w:vAlign w:val="center"/>
          </w:tcPr>
          <w:p w14:paraId="595C820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Shandong Agricultural University</w:t>
            </w:r>
          </w:p>
        </w:tc>
        <w:tc>
          <w:tcPr>
            <w:tcW w:w="4211" w:type="dxa"/>
            <w:vAlign w:val="center"/>
          </w:tcPr>
          <w:p w14:paraId="4CF4B9E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mineral nutrition and fertilization of fruit trees.</w:t>
            </w:r>
          </w:p>
        </w:tc>
      </w:tr>
      <w:tr w14:paraId="7491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2358DFF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3</w:t>
            </w:r>
          </w:p>
        </w:tc>
        <w:tc>
          <w:tcPr>
            <w:tcW w:w="1697" w:type="dxa"/>
            <w:vAlign w:val="center"/>
          </w:tcPr>
          <w:p w14:paraId="239500D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Suresh Kumar Chaudhari</w:t>
            </w:r>
          </w:p>
        </w:tc>
        <w:tc>
          <w:tcPr>
            <w:tcW w:w="1888" w:type="dxa"/>
            <w:vAlign w:val="center"/>
          </w:tcPr>
          <w:p w14:paraId="264F067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Indian Council of Agricultural Research</w:t>
            </w:r>
          </w:p>
        </w:tc>
        <w:tc>
          <w:tcPr>
            <w:tcW w:w="4211" w:type="dxa"/>
            <w:vAlign w:val="center"/>
          </w:tcPr>
          <w:p w14:paraId="40B82C8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agricultural water and fertilizer management.</w:t>
            </w:r>
          </w:p>
        </w:tc>
      </w:tr>
      <w:tr w14:paraId="4505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7ED71B4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4</w:t>
            </w:r>
          </w:p>
        </w:tc>
        <w:tc>
          <w:tcPr>
            <w:tcW w:w="1697" w:type="dxa"/>
            <w:vAlign w:val="center"/>
          </w:tcPr>
          <w:p w14:paraId="1D3D900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Q</w:t>
            </w:r>
            <w:r>
              <w:rPr>
                <w:rFonts w:hint="default" w:ascii="Times New Roman" w:hAnsi="Times New Roman" w:cs="Times New Roman"/>
                <w:color w:val="auto"/>
                <w:sz w:val="24"/>
                <w:szCs w:val="24"/>
              </w:rPr>
              <w:t>iang Gao</w:t>
            </w:r>
          </w:p>
        </w:tc>
        <w:tc>
          <w:tcPr>
            <w:tcW w:w="1888" w:type="dxa"/>
            <w:vAlign w:val="center"/>
          </w:tcPr>
          <w:p w14:paraId="5DCB9A2F">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w:t>
            </w:r>
            <w:r>
              <w:rPr>
                <w:rFonts w:hint="default" w:ascii="Times New Roman" w:hAnsi="Times New Roman" w:cs="Times New Roman"/>
                <w:color w:val="auto"/>
                <w:sz w:val="24"/>
                <w:szCs w:val="24"/>
              </w:rPr>
              <w:t>ilin Agricultural University</w:t>
            </w:r>
          </w:p>
        </w:tc>
        <w:tc>
          <w:tcPr>
            <w:tcW w:w="4211" w:type="dxa"/>
            <w:vAlign w:val="center"/>
          </w:tcPr>
          <w:p w14:paraId="66E6F302">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expert in the field of new fertilizer research and rational application technology.</w:t>
            </w:r>
          </w:p>
        </w:tc>
      </w:tr>
      <w:tr w14:paraId="735B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4"/>
            <w:vAlign w:val="center"/>
          </w:tcPr>
          <w:p w14:paraId="0B310A0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Fertilizer industry development</w:t>
            </w:r>
          </w:p>
        </w:tc>
      </w:tr>
      <w:tr w14:paraId="6228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0E1A0A0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5</w:t>
            </w:r>
          </w:p>
        </w:tc>
        <w:tc>
          <w:tcPr>
            <w:tcW w:w="1697" w:type="dxa"/>
            <w:vAlign w:val="center"/>
          </w:tcPr>
          <w:p w14:paraId="17FF40C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Karl Wyant</w:t>
            </w:r>
          </w:p>
        </w:tc>
        <w:tc>
          <w:tcPr>
            <w:tcW w:w="1888" w:type="dxa"/>
            <w:vAlign w:val="center"/>
          </w:tcPr>
          <w:p w14:paraId="366554D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Canada </w:t>
            </w:r>
            <w:r>
              <w:rPr>
                <w:rFonts w:hint="default" w:ascii="Times New Roman" w:hAnsi="Times New Roman" w:cs="Times New Roman"/>
                <w:color w:val="auto"/>
                <w:sz w:val="24"/>
                <w:szCs w:val="24"/>
              </w:rPr>
              <w:t>E</w:t>
            </w:r>
            <w:r>
              <w:rPr>
                <w:rFonts w:hint="default" w:ascii="Times New Roman" w:hAnsi="Times New Roman" w:cs="Times New Roman"/>
                <w:color w:val="auto"/>
                <w:sz w:val="24"/>
                <w:szCs w:val="24"/>
              </w:rPr>
              <w:t>SN</w:t>
            </w:r>
          </w:p>
        </w:tc>
        <w:tc>
          <w:tcPr>
            <w:tcW w:w="4211" w:type="dxa"/>
            <w:vAlign w:val="center"/>
          </w:tcPr>
          <w:p w14:paraId="6874C14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controlled release fertilizer in Canada.</w:t>
            </w:r>
          </w:p>
        </w:tc>
      </w:tr>
      <w:tr w14:paraId="3555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55F564ED">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6</w:t>
            </w:r>
          </w:p>
        </w:tc>
        <w:tc>
          <w:tcPr>
            <w:tcW w:w="1697" w:type="dxa"/>
            <w:vAlign w:val="center"/>
          </w:tcPr>
          <w:p w14:paraId="422DCBF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Q</w:t>
            </w:r>
            <w:r>
              <w:rPr>
                <w:rFonts w:hint="default" w:ascii="Times New Roman" w:hAnsi="Times New Roman" w:cs="Times New Roman"/>
                <w:color w:val="auto"/>
                <w:sz w:val="24"/>
                <w:szCs w:val="24"/>
              </w:rPr>
              <w:t>iang Zhang</w:t>
            </w:r>
          </w:p>
        </w:tc>
        <w:tc>
          <w:tcPr>
            <w:tcW w:w="1888" w:type="dxa"/>
            <w:vAlign w:val="center"/>
          </w:tcPr>
          <w:p w14:paraId="71F588FB">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Kingenta</w:t>
            </w:r>
          </w:p>
        </w:tc>
        <w:tc>
          <w:tcPr>
            <w:tcW w:w="4211" w:type="dxa"/>
            <w:vAlign w:val="center"/>
          </w:tcPr>
          <w:p w14:paraId="7394FA5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novel fertilizer manufacturer and planting industry solution management in China.</w:t>
            </w:r>
          </w:p>
        </w:tc>
      </w:tr>
      <w:tr w14:paraId="4688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13E67F9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7</w:t>
            </w:r>
          </w:p>
        </w:tc>
        <w:tc>
          <w:tcPr>
            <w:tcW w:w="1697" w:type="dxa"/>
            <w:vAlign w:val="center"/>
          </w:tcPr>
          <w:p w14:paraId="0CB922B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Anup Kothari</w:t>
            </w:r>
          </w:p>
        </w:tc>
        <w:tc>
          <w:tcPr>
            <w:tcW w:w="1888" w:type="dxa"/>
            <w:vAlign w:val="center"/>
          </w:tcPr>
          <w:p w14:paraId="35767B9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w:t>
            </w:r>
            <w:r>
              <w:rPr>
                <w:rFonts w:hint="default" w:ascii="Times New Roman" w:hAnsi="Times New Roman" w:cs="Times New Roman"/>
                <w:color w:val="auto"/>
                <w:sz w:val="24"/>
                <w:szCs w:val="24"/>
              </w:rPr>
              <w:t>ASF</w:t>
            </w:r>
          </w:p>
        </w:tc>
        <w:tc>
          <w:tcPr>
            <w:tcW w:w="4211" w:type="dxa"/>
            <w:vAlign w:val="center"/>
          </w:tcPr>
          <w:p w14:paraId="1D6F010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Chemical engineering and fertilizer in Germany.</w:t>
            </w:r>
          </w:p>
        </w:tc>
      </w:tr>
      <w:tr w14:paraId="1A33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22CBC2AF">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8</w:t>
            </w:r>
          </w:p>
        </w:tc>
        <w:tc>
          <w:tcPr>
            <w:tcW w:w="1697" w:type="dxa"/>
            <w:vAlign w:val="center"/>
          </w:tcPr>
          <w:p w14:paraId="7DF879A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Sanzhou Tang</w:t>
            </w:r>
          </w:p>
        </w:tc>
        <w:tc>
          <w:tcPr>
            <w:tcW w:w="1888" w:type="dxa"/>
            <w:vAlign w:val="center"/>
          </w:tcPr>
          <w:p w14:paraId="405F0F52">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Y</w:t>
            </w:r>
            <w:r>
              <w:rPr>
                <w:rFonts w:hint="default" w:ascii="Times New Roman" w:hAnsi="Times New Roman" w:cs="Times New Roman"/>
                <w:color w:val="auto"/>
                <w:sz w:val="24"/>
                <w:szCs w:val="24"/>
              </w:rPr>
              <w:t>ONFER</w:t>
            </w:r>
          </w:p>
        </w:tc>
        <w:tc>
          <w:tcPr>
            <w:tcW w:w="4211" w:type="dxa"/>
            <w:vAlign w:val="center"/>
          </w:tcPr>
          <w:p w14:paraId="19DBA41E">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high concentration compound fertilizer and phosphorus chemical industry in China.</w:t>
            </w:r>
          </w:p>
        </w:tc>
      </w:tr>
      <w:tr w14:paraId="0BA3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34E3A9E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t>9</w:t>
            </w:r>
          </w:p>
        </w:tc>
        <w:tc>
          <w:tcPr>
            <w:tcW w:w="1697" w:type="dxa"/>
            <w:vAlign w:val="center"/>
          </w:tcPr>
          <w:p w14:paraId="40D792D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MITSUYOSHI</w:t>
            </w:r>
          </w:p>
          <w:p w14:paraId="1CFA8D84">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KYO</w:t>
            </w:r>
          </w:p>
        </w:tc>
        <w:tc>
          <w:tcPr>
            <w:tcW w:w="1888" w:type="dxa"/>
            <w:vAlign w:val="center"/>
          </w:tcPr>
          <w:p w14:paraId="5313BF11">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Japan Stifle Fertilizer</w:t>
            </w:r>
          </w:p>
        </w:tc>
        <w:tc>
          <w:tcPr>
            <w:tcW w:w="4211" w:type="dxa"/>
            <w:vAlign w:val="center"/>
          </w:tcPr>
          <w:p w14:paraId="3795DF45">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novel fertilizers in Japan.</w:t>
            </w:r>
          </w:p>
        </w:tc>
      </w:tr>
      <w:tr w14:paraId="11C0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36EDD796">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t>0</w:t>
            </w:r>
          </w:p>
        </w:tc>
        <w:tc>
          <w:tcPr>
            <w:tcW w:w="1697" w:type="dxa"/>
            <w:vAlign w:val="center"/>
          </w:tcPr>
          <w:p w14:paraId="5D7464D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Rodrigo Santos</w:t>
            </w:r>
          </w:p>
        </w:tc>
        <w:tc>
          <w:tcPr>
            <w:tcW w:w="1888" w:type="dxa"/>
            <w:vAlign w:val="center"/>
          </w:tcPr>
          <w:p w14:paraId="554D73A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Bayer crop science</w:t>
            </w:r>
          </w:p>
        </w:tc>
        <w:tc>
          <w:tcPr>
            <w:tcW w:w="4211" w:type="dxa"/>
            <w:vAlign w:val="center"/>
          </w:tcPr>
          <w:p w14:paraId="175ACEE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w:t>
            </w:r>
            <w:r>
              <w:rPr>
                <w:rFonts w:hint="default" w:ascii="Times New Roman" w:hAnsi="Times New Roman" w:cs="Times New Roman"/>
                <w:color w:val="auto"/>
                <w:sz w:val="24"/>
                <w:szCs w:val="24"/>
              </w:rPr>
              <w:t xml:space="preserve"> c</w:t>
            </w:r>
            <w:r>
              <w:rPr>
                <w:rFonts w:hint="default" w:ascii="Times New Roman" w:hAnsi="Times New Roman" w:cs="Times New Roman"/>
                <w:color w:val="auto"/>
                <w:sz w:val="24"/>
                <w:szCs w:val="24"/>
              </w:rPr>
              <w:t>rop protection solutions in Germany</w:t>
            </w:r>
            <w:r>
              <w:rPr>
                <w:rFonts w:hint="default" w:ascii="Times New Roman" w:hAnsi="Times New Roman" w:cs="Times New Roman"/>
                <w:color w:val="auto"/>
                <w:sz w:val="24"/>
                <w:szCs w:val="24"/>
              </w:rPr>
              <w:t>.</w:t>
            </w:r>
          </w:p>
        </w:tc>
      </w:tr>
      <w:tr w14:paraId="6C83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1EF3D53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t>1</w:t>
            </w:r>
          </w:p>
        </w:tc>
        <w:tc>
          <w:tcPr>
            <w:tcW w:w="1697" w:type="dxa"/>
            <w:vAlign w:val="center"/>
          </w:tcPr>
          <w:p w14:paraId="0B4656A0">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Bin Su</w:t>
            </w:r>
          </w:p>
        </w:tc>
        <w:tc>
          <w:tcPr>
            <w:tcW w:w="1888" w:type="dxa"/>
            <w:vAlign w:val="center"/>
          </w:tcPr>
          <w:p w14:paraId="2475F6D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Syngenta Group</w:t>
            </w:r>
          </w:p>
        </w:tc>
        <w:tc>
          <w:tcPr>
            <w:tcW w:w="4211" w:type="dxa"/>
            <w:vAlign w:val="center"/>
          </w:tcPr>
          <w:p w14:paraId="5C8B7138">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seed, plant protection and crop nutrition, agronomic solutions in Switzerland.</w:t>
            </w:r>
          </w:p>
        </w:tc>
      </w:tr>
      <w:tr w14:paraId="4E91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dxa"/>
            <w:vAlign w:val="center"/>
          </w:tcPr>
          <w:p w14:paraId="6FC4DB2A">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t>2</w:t>
            </w:r>
          </w:p>
        </w:tc>
        <w:tc>
          <w:tcPr>
            <w:tcW w:w="1697" w:type="dxa"/>
            <w:vAlign w:val="center"/>
          </w:tcPr>
          <w:p w14:paraId="6E18D6DC">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w:t>
            </w:r>
            <w:r>
              <w:rPr>
                <w:rFonts w:hint="default" w:ascii="Times New Roman" w:hAnsi="Times New Roman" w:cs="Times New Roman"/>
                <w:color w:val="auto"/>
                <w:sz w:val="24"/>
                <w:szCs w:val="24"/>
              </w:rPr>
              <w:t>ang</w:t>
            </w:r>
            <w:r>
              <w:rPr>
                <w:rFonts w:hint="default" w:ascii="Times New Roman" w:hAnsi="Times New Roman" w:cs="Times New Roman"/>
                <w:color w:val="auto"/>
                <w:sz w:val="24"/>
                <w:szCs w:val="24"/>
              </w:rPr>
              <w:t>jun Ding</w:t>
            </w:r>
          </w:p>
        </w:tc>
        <w:tc>
          <w:tcPr>
            <w:tcW w:w="1888" w:type="dxa"/>
            <w:vAlign w:val="center"/>
          </w:tcPr>
          <w:p w14:paraId="49F7B8D2">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w:t>
            </w:r>
            <w:r>
              <w:rPr>
                <w:rFonts w:hint="default" w:ascii="Times New Roman" w:hAnsi="Times New Roman" w:cs="Times New Roman"/>
                <w:color w:val="auto"/>
                <w:sz w:val="24"/>
                <w:szCs w:val="24"/>
              </w:rPr>
              <w:t>DFY</w:t>
            </w:r>
          </w:p>
        </w:tc>
        <w:tc>
          <w:tcPr>
            <w:tcW w:w="4211" w:type="dxa"/>
            <w:vAlign w:val="center"/>
          </w:tcPr>
          <w:p w14:paraId="3F7A36B7">
            <w:pPr>
              <w:pageBreakBefore w:val="0"/>
              <w:kinsoku/>
              <w:wordWrap/>
              <w:overflowPunct/>
              <w:topLinePunct w:val="0"/>
              <w:autoSpaceDE/>
              <w:autoSpaceDN/>
              <w:bidi w:val="0"/>
              <w:adjustRightInd w:val="0"/>
              <w:snapToGrid w:val="0"/>
              <w:spacing w:before="157" w:beforeLines="50" w:beforeAutospacing="0" w:afterAutospacing="0"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 leading company in the field of humic acid fertilizer in China</w:t>
            </w:r>
            <w:r>
              <w:rPr>
                <w:rFonts w:hint="default" w:ascii="Times New Roman" w:hAnsi="Times New Roman" w:cs="Times New Roman"/>
                <w:color w:val="auto"/>
                <w:sz w:val="24"/>
                <w:szCs w:val="24"/>
              </w:rPr>
              <w:t>.</w:t>
            </w:r>
          </w:p>
        </w:tc>
      </w:tr>
    </w:tbl>
    <w:p w14:paraId="2D433139">
      <w:pPr>
        <w:pageBreakBefore w:val="0"/>
        <w:widowControl/>
        <w:shd w:val="clear" w:color="auto" w:fill="FFFFFF"/>
        <w:kinsoku/>
        <w:wordWrap/>
        <w:overflowPunct/>
        <w:topLinePunct w:val="0"/>
        <w:autoSpaceDE/>
        <w:autoSpaceDN/>
        <w:bidi w:val="0"/>
        <w:spacing w:before="157" w:beforeLines="50" w:beforeAutospacing="0" w:afterAutospacing="0" w:line="360" w:lineRule="auto"/>
        <w:ind w:left="0" w:firstLine="0"/>
        <w:jc w:val="left"/>
        <w:textAlignment w:val="baseline"/>
        <w:rPr>
          <w:rFonts w:hint="default" w:ascii="Times New Roman" w:hAnsi="Times New Roman" w:cs="Times New Roman"/>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7"/>
      <w:jc w:val="left"/>
    </w:pPr>
    <w:r>
      <mc:AlternateContent>
        <mc:Choice Requires="wps">
          <w:drawing>
            <wp:anchor distT="0" distB="0" distL="114300" distR="114300" simplePos="0" relativeHeight="251659264" behindDoc="0" locked="0" layoutInCell="1" allowOverlap="1">
              <wp:simplePos x="0" y="0"/>
              <wp:positionH relativeFrom="margin">
                <wp:posOffset>880110</wp:posOffset>
              </wp:positionH>
              <wp:positionV relativeFrom="paragraph">
                <wp:posOffset>-120015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9.3pt;margin-top:-9.45pt;height:72pt;width:250.8pt;mso-position-horizontal-relative:margin;z-index:251659264;v-text-anchor:middle;mso-width-relative:page;mso-height-relative:page;" filled="f" stroked="f" coordsize="21600,21600" o:gfxdata="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Fyr49cAAAALAQAADwAAAAAAAAABACAAAAAiAAAAZHJzL2Rvd25yZXYueG1sUEsB&#10;AhQAFAAAAAgAh07iQD74zBdoAgAAugQAAA4AAAAAAAAAAQAgAAAAJgEAAGRycy9lMm9Eb2MueG1s&#10;UEsFBgAAAAAGAAYAWQEAAAAGA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5"/>
                              <w:rFonts w:ascii="Times New Roman" w:hAnsi="Times New Roman" w:cs="Times New Roman"/>
                              <w:sz w:val="24"/>
                            </w:rPr>
                            <w:t>https://www.23wcss.org.cn/</w:t>
                          </w:r>
                          <w:r>
                            <w:rPr>
                              <w:rStyle w:val="15"/>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5"/>
                        <w:rFonts w:ascii="Times New Roman" w:hAnsi="Times New Roman" w:cs="Times New Roman"/>
                        <w:sz w:val="24"/>
                      </w:rPr>
                      <w:t>https://www.23wcss.org.cn/</w:t>
                    </w:r>
                    <w:r>
                      <w:rPr>
                        <w:rStyle w:val="15"/>
                        <w:rFonts w:ascii="Times New Roman" w:hAnsi="Times New Roman" w:cs="Times New Roman"/>
                        <w:sz w:val="24"/>
                      </w:rPr>
                      <w:fldChar w:fldCharType="end"/>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643F93"/>
    <w:multiLevelType w:val="multilevel"/>
    <w:tmpl w:val="75643F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12E0E"/>
    <w:rsid w:val="0002162C"/>
    <w:rsid w:val="0005588A"/>
    <w:rsid w:val="00056376"/>
    <w:rsid w:val="000C552C"/>
    <w:rsid w:val="000E0F40"/>
    <w:rsid w:val="000E39FD"/>
    <w:rsid w:val="000E7758"/>
    <w:rsid w:val="00105FDA"/>
    <w:rsid w:val="00116010"/>
    <w:rsid w:val="0011779C"/>
    <w:rsid w:val="001201F2"/>
    <w:rsid w:val="00175BBD"/>
    <w:rsid w:val="001868DD"/>
    <w:rsid w:val="00203FB2"/>
    <w:rsid w:val="00270092"/>
    <w:rsid w:val="0027109E"/>
    <w:rsid w:val="00282470"/>
    <w:rsid w:val="00297116"/>
    <w:rsid w:val="002A4445"/>
    <w:rsid w:val="002C5FA5"/>
    <w:rsid w:val="002D3FDB"/>
    <w:rsid w:val="003130D6"/>
    <w:rsid w:val="00391E21"/>
    <w:rsid w:val="003A57E6"/>
    <w:rsid w:val="003B7BE2"/>
    <w:rsid w:val="0042272B"/>
    <w:rsid w:val="00426745"/>
    <w:rsid w:val="0045312A"/>
    <w:rsid w:val="004707CB"/>
    <w:rsid w:val="004A1D25"/>
    <w:rsid w:val="004D2106"/>
    <w:rsid w:val="004F3E08"/>
    <w:rsid w:val="005344A8"/>
    <w:rsid w:val="0054018B"/>
    <w:rsid w:val="00561FAA"/>
    <w:rsid w:val="005D4883"/>
    <w:rsid w:val="005E200B"/>
    <w:rsid w:val="00601833"/>
    <w:rsid w:val="0061401A"/>
    <w:rsid w:val="006228CA"/>
    <w:rsid w:val="00644F35"/>
    <w:rsid w:val="00672FCB"/>
    <w:rsid w:val="006B1D94"/>
    <w:rsid w:val="006C58DF"/>
    <w:rsid w:val="006D49E8"/>
    <w:rsid w:val="006E1984"/>
    <w:rsid w:val="00700002"/>
    <w:rsid w:val="0072420E"/>
    <w:rsid w:val="00727DE6"/>
    <w:rsid w:val="00736271"/>
    <w:rsid w:val="0078523B"/>
    <w:rsid w:val="007E0CDF"/>
    <w:rsid w:val="008149FF"/>
    <w:rsid w:val="00826200"/>
    <w:rsid w:val="00876C08"/>
    <w:rsid w:val="008865DF"/>
    <w:rsid w:val="008A7AFE"/>
    <w:rsid w:val="008C350B"/>
    <w:rsid w:val="008C4A6F"/>
    <w:rsid w:val="008D63AA"/>
    <w:rsid w:val="00901614"/>
    <w:rsid w:val="00970478"/>
    <w:rsid w:val="009B5B58"/>
    <w:rsid w:val="00A06FFE"/>
    <w:rsid w:val="00A33A80"/>
    <w:rsid w:val="00A520CF"/>
    <w:rsid w:val="00A574D6"/>
    <w:rsid w:val="00A83A96"/>
    <w:rsid w:val="00A97354"/>
    <w:rsid w:val="00AC0BEB"/>
    <w:rsid w:val="00B066ED"/>
    <w:rsid w:val="00B272C8"/>
    <w:rsid w:val="00B712ED"/>
    <w:rsid w:val="00B82D5B"/>
    <w:rsid w:val="00B9503D"/>
    <w:rsid w:val="00BC2EA1"/>
    <w:rsid w:val="00BC5A2B"/>
    <w:rsid w:val="00BC6443"/>
    <w:rsid w:val="00BE35A8"/>
    <w:rsid w:val="00BF22B1"/>
    <w:rsid w:val="00BF2ADB"/>
    <w:rsid w:val="00C02579"/>
    <w:rsid w:val="00C10BFB"/>
    <w:rsid w:val="00C30742"/>
    <w:rsid w:val="00C469B3"/>
    <w:rsid w:val="00C77400"/>
    <w:rsid w:val="00C82871"/>
    <w:rsid w:val="00C83B18"/>
    <w:rsid w:val="00CB2815"/>
    <w:rsid w:val="00CC77EF"/>
    <w:rsid w:val="00CD29A2"/>
    <w:rsid w:val="00CD5089"/>
    <w:rsid w:val="00CF5222"/>
    <w:rsid w:val="00D41811"/>
    <w:rsid w:val="00D44BCC"/>
    <w:rsid w:val="00D47459"/>
    <w:rsid w:val="00D76675"/>
    <w:rsid w:val="00E17EDF"/>
    <w:rsid w:val="00E30E9A"/>
    <w:rsid w:val="00E402FB"/>
    <w:rsid w:val="00E450D5"/>
    <w:rsid w:val="00E612FE"/>
    <w:rsid w:val="00E76F4E"/>
    <w:rsid w:val="00E9147A"/>
    <w:rsid w:val="00E94B4A"/>
    <w:rsid w:val="00EB7DA6"/>
    <w:rsid w:val="00EC729B"/>
    <w:rsid w:val="00F20F04"/>
    <w:rsid w:val="00F72ABD"/>
    <w:rsid w:val="00FB33E5"/>
    <w:rsid w:val="00FD0305"/>
    <w:rsid w:val="00FE3F26"/>
    <w:rsid w:val="00FF2CBD"/>
    <w:rsid w:val="00FF68EC"/>
    <w:rsid w:val="5CAF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1"/>
    <w:semiHidden/>
    <w:unhideWhenUsed/>
    <w:uiPriority w:val="99"/>
    <w:pPr>
      <w:jc w:val="left"/>
    </w:p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5"/>
    <w:next w:val="5"/>
    <w:link w:val="22"/>
    <w:semiHidden/>
    <w:unhideWhenUsed/>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autoRedefine/>
    <w:qFormat/>
    <w:uiPriority w:val="0"/>
    <w:rPr>
      <w:color w:val="0000FF"/>
      <w:u w:val="single"/>
    </w:rPr>
  </w:style>
  <w:style w:type="character" w:styleId="16">
    <w:name w:val="annotation reference"/>
    <w:basedOn w:val="12"/>
    <w:semiHidden/>
    <w:unhideWhenUsed/>
    <w:uiPriority w:val="99"/>
    <w:rPr>
      <w:sz w:val="21"/>
      <w:szCs w:val="21"/>
    </w:rPr>
  </w:style>
  <w:style w:type="character" w:customStyle="1" w:styleId="17">
    <w:name w:val="页眉 字符"/>
    <w:basedOn w:val="12"/>
    <w:link w:val="7"/>
    <w:uiPriority w:val="99"/>
    <w:rPr>
      <w:sz w:val="18"/>
      <w:szCs w:val="18"/>
    </w:rPr>
  </w:style>
  <w:style w:type="character" w:customStyle="1" w:styleId="18">
    <w:name w:val="页脚 字符"/>
    <w:basedOn w:val="12"/>
    <w:link w:val="6"/>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2"/>
    <w:link w:val="2"/>
    <w:uiPriority w:val="9"/>
    <w:rPr>
      <w:b/>
      <w:bCs/>
      <w:kern w:val="44"/>
      <w:sz w:val="44"/>
      <w:szCs w:val="44"/>
    </w:rPr>
  </w:style>
  <w:style w:type="character" w:customStyle="1" w:styleId="21">
    <w:name w:val="批注文字 字符"/>
    <w:basedOn w:val="12"/>
    <w:link w:val="5"/>
    <w:semiHidden/>
    <w:qFormat/>
    <w:uiPriority w:val="99"/>
  </w:style>
  <w:style w:type="character" w:customStyle="1" w:styleId="22">
    <w:name w:val="批注主题 字符"/>
    <w:basedOn w:val="21"/>
    <w:link w:val="9"/>
    <w:semiHidden/>
    <w:qFormat/>
    <w:uiPriority w:val="99"/>
    <w:rPr>
      <w:b/>
      <w:bCs/>
    </w:rPr>
  </w:style>
  <w:style w:type="character" w:customStyle="1" w:styleId="23">
    <w:name w:val="Unresolved Mention"/>
    <w:basedOn w:val="12"/>
    <w:semiHidden/>
    <w:unhideWhenUsed/>
    <w:qFormat/>
    <w:uiPriority w:val="99"/>
    <w:rPr>
      <w:color w:val="605E5C"/>
      <w:shd w:val="clear" w:color="auto" w:fill="E1DFDD"/>
    </w:rPr>
  </w:style>
  <w:style w:type="character" w:customStyle="1" w:styleId="24">
    <w:name w:val="标题 3 字符"/>
    <w:basedOn w:val="12"/>
    <w:link w:val="3"/>
    <w:semiHidden/>
    <w:qFormat/>
    <w:uiPriority w:val="9"/>
    <w:rPr>
      <w:b/>
      <w:bCs/>
      <w:sz w:val="32"/>
      <w:szCs w:val="32"/>
    </w:rPr>
  </w:style>
  <w:style w:type="character" w:customStyle="1" w:styleId="25">
    <w:name w:val="标题 4 字符"/>
    <w:basedOn w:val="12"/>
    <w:link w:val="4"/>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1002</Words>
  <Characters>5908</Characters>
  <Lines>50</Lines>
  <Paragraphs>14</Paragraphs>
  <TotalTime>108</TotalTime>
  <ScaleCrop>false</ScaleCrop>
  <LinksUpToDate>false</LinksUpToDate>
  <CharactersWithSpaces>6763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2025-03-20T00:42:00Z</dcterms:created>
  <dc:creator>菲菲 唐</dc:creator>
  <cp:lastModifiedBy>菲菲菲菲糖</cp:lastModifiedBy>
  <cp:lastPrinted>2025-03-20T01:10:00Z</cp:lastPrinted>
  <dcterms:modified xsi:type="dcterms:W3CDTF">2025-06-03T06:29:36Z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BB2C98FDC4F0465FB3B0E607117B772E_12</vt:lpwstr>
  </property>
</Properties>
</file>